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195" w:rsidRDefault="005A7195">
      <w:pPr>
        <w:ind w:firstLine="420"/>
      </w:pPr>
    </w:p>
    <w:p w:rsidR="005A7195" w:rsidRDefault="005A7195">
      <w:pPr>
        <w:ind w:firstLine="420"/>
      </w:pPr>
    </w:p>
    <w:p w:rsidR="005A7195" w:rsidRDefault="005A7195">
      <w:pPr>
        <w:ind w:firstLineChars="0" w:firstLine="0"/>
        <w:rPr>
          <w:b/>
          <w:sz w:val="44"/>
        </w:rPr>
      </w:pPr>
    </w:p>
    <w:p w:rsidR="005A7195" w:rsidRDefault="005A7195">
      <w:pPr>
        <w:widowControl/>
        <w:ind w:firstLineChars="0" w:firstLine="0"/>
        <w:jc w:val="left"/>
        <w:rPr>
          <w:rFonts w:ascii="黑体" w:eastAsia="黑体" w:hAnsi="黑体"/>
          <w:b/>
          <w:sz w:val="52"/>
          <w:szCs w:val="24"/>
        </w:rPr>
      </w:pPr>
    </w:p>
    <w:p w:rsidR="005A7195" w:rsidRDefault="005A7195">
      <w:pPr>
        <w:widowControl/>
        <w:ind w:firstLineChars="0" w:firstLine="0"/>
        <w:jc w:val="left"/>
        <w:rPr>
          <w:rFonts w:ascii="黑体" w:eastAsia="黑体" w:hAnsi="黑体"/>
          <w:b/>
          <w:sz w:val="52"/>
          <w:szCs w:val="24"/>
        </w:rPr>
      </w:pPr>
    </w:p>
    <w:p w:rsidR="005A7195" w:rsidRDefault="005A7195">
      <w:pPr>
        <w:widowControl/>
        <w:ind w:firstLineChars="0" w:firstLine="0"/>
        <w:jc w:val="left"/>
        <w:rPr>
          <w:rFonts w:ascii="黑体" w:eastAsia="黑体" w:hAnsi="黑体"/>
          <w:b/>
          <w:sz w:val="52"/>
          <w:szCs w:val="24"/>
        </w:rPr>
      </w:pPr>
    </w:p>
    <w:p w:rsidR="005A7195" w:rsidRDefault="00324151">
      <w:pPr>
        <w:widowControl/>
        <w:spacing w:line="840" w:lineRule="exact"/>
        <w:ind w:left="840" w:firstLineChars="0" w:firstLine="420"/>
        <w:jc w:val="left"/>
        <w:rPr>
          <w:rFonts w:ascii="微软雅黑" w:eastAsia="微软雅黑" w:hAnsi="微软雅黑"/>
          <w:b/>
          <w:sz w:val="66"/>
          <w:szCs w:val="66"/>
        </w:rPr>
      </w:pPr>
      <w:r>
        <w:rPr>
          <w:noProof/>
        </w:rPr>
        <w:drawing>
          <wp:anchor distT="0" distB="0" distL="114300" distR="114300" simplePos="0" relativeHeight="251658240" behindDoc="1" locked="0" layoutInCell="1" allowOverlap="1">
            <wp:simplePos x="0" y="0"/>
            <wp:positionH relativeFrom="column">
              <wp:posOffset>-2442210</wp:posOffset>
            </wp:positionH>
            <wp:positionV relativeFrom="paragraph">
              <wp:posOffset>440690</wp:posOffset>
            </wp:positionV>
            <wp:extent cx="5277485" cy="653415"/>
            <wp:effectExtent l="0" t="0" r="0" b="0"/>
            <wp:wrapNone/>
            <wp:docPr id="4" name="图片 0" descr="信息公开四个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信息公开四个字.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7485"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7023C">
        <w:rPr>
          <w:rFonts w:ascii="微软雅黑" w:eastAsia="微软雅黑" w:hAnsi="微软雅黑"/>
          <w:b/>
          <w:sz w:val="66"/>
          <w:szCs w:val="66"/>
        </w:rPr>
        <w:t>2014</w:t>
      </w:r>
      <w:r w:rsidR="00E7023C">
        <w:rPr>
          <w:rFonts w:ascii="微软雅黑" w:eastAsia="微软雅黑" w:hAnsi="微软雅黑" w:hint="eastAsia"/>
          <w:b/>
          <w:sz w:val="66"/>
          <w:szCs w:val="66"/>
        </w:rPr>
        <w:t>年征地拆迁</w:t>
      </w:r>
    </w:p>
    <w:p w:rsidR="005A7195" w:rsidRDefault="00E7023C">
      <w:pPr>
        <w:widowControl/>
        <w:spacing w:line="840" w:lineRule="exact"/>
        <w:ind w:firstLineChars="630" w:firstLine="4158"/>
        <w:jc w:val="left"/>
        <w:rPr>
          <w:rFonts w:ascii="微软雅黑" w:eastAsia="微软雅黑" w:hAnsi="微软雅黑"/>
          <w:b/>
          <w:sz w:val="66"/>
          <w:szCs w:val="66"/>
        </w:rPr>
      </w:pPr>
      <w:r>
        <w:rPr>
          <w:rFonts w:ascii="微软雅黑" w:eastAsia="微软雅黑" w:hAnsi="微软雅黑" w:hint="eastAsia"/>
          <w:b/>
          <w:sz w:val="66"/>
          <w:szCs w:val="66"/>
        </w:rPr>
        <w:t>年度报告</w:t>
      </w:r>
    </w:p>
    <w:p w:rsidR="005A7195" w:rsidRDefault="00324151">
      <w:pPr>
        <w:widowControl/>
        <w:ind w:firstLineChars="650" w:firstLine="1365"/>
        <w:jc w:val="left"/>
        <w:rPr>
          <w:rFonts w:ascii="微软雅黑" w:eastAsia="微软雅黑" w:hAnsi="微软雅黑"/>
          <w:b/>
          <w:sz w:val="66"/>
          <w:szCs w:val="66"/>
        </w:rPr>
      </w:pPr>
      <w:r>
        <w:rPr>
          <w:noProof/>
        </w:rPr>
        <mc:AlternateContent>
          <mc:Choice Requires="wps">
            <w:drawing>
              <wp:anchor distT="0" distB="0" distL="114300" distR="114300" simplePos="0" relativeHeight="251659264" behindDoc="0" locked="0" layoutInCell="1" allowOverlap="1">
                <wp:simplePos x="0" y="0"/>
                <wp:positionH relativeFrom="column">
                  <wp:posOffset>844550</wp:posOffset>
                </wp:positionH>
                <wp:positionV relativeFrom="paragraph">
                  <wp:posOffset>88900</wp:posOffset>
                </wp:positionV>
                <wp:extent cx="3877945" cy="28575"/>
                <wp:effectExtent l="0" t="3175"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7945" cy="28575"/>
                        </a:xfrm>
                        <a:prstGeom prst="rect">
                          <a:avLst/>
                        </a:prstGeom>
                        <a:gradFill rotWithShape="0">
                          <a:gsLst>
                            <a:gs pos="0">
                              <a:srgbClr val="548DD4"/>
                            </a:gs>
                            <a:gs pos="100000">
                              <a:srgbClr val="548DD4">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66.5pt;margin-top:7pt;width:305.3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" fillcolor="#548dd4" stroked="f">
                <v:fill color2="#dde8f6" angle="90" focus="100%" type="gradient"/>
              </v:rect>
            </w:pict>
          </mc:Fallback>
        </mc:AlternateContent>
      </w:r>
    </w:p>
    <w:p w:rsidR="005A7195" w:rsidRDefault="005A7195">
      <w:pPr>
        <w:widowControl/>
        <w:ind w:firstLineChars="650" w:firstLine="1950"/>
        <w:jc w:val="left"/>
        <w:rPr>
          <w:rFonts w:ascii="微软雅黑" w:eastAsia="微软雅黑" w:hAnsi="微软雅黑"/>
          <w:b/>
          <w:sz w:val="30"/>
          <w:szCs w:val="30"/>
        </w:rPr>
      </w:pPr>
    </w:p>
    <w:p w:rsidR="005A7195" w:rsidRDefault="005A7195">
      <w:pPr>
        <w:widowControl/>
        <w:ind w:firstLineChars="650" w:firstLine="4290"/>
        <w:jc w:val="left"/>
        <w:rPr>
          <w:rFonts w:ascii="微软雅黑" w:eastAsia="微软雅黑" w:hAnsi="微软雅黑"/>
          <w:b/>
          <w:sz w:val="66"/>
          <w:szCs w:val="66"/>
        </w:rPr>
      </w:pPr>
    </w:p>
    <w:p w:rsidR="005A7195" w:rsidRDefault="005A7195">
      <w:pPr>
        <w:widowControl/>
        <w:ind w:firstLineChars="650" w:firstLine="4290"/>
        <w:jc w:val="left"/>
        <w:rPr>
          <w:rFonts w:ascii="微软雅黑" w:eastAsia="微软雅黑" w:hAnsi="微软雅黑"/>
          <w:b/>
          <w:sz w:val="66"/>
          <w:szCs w:val="66"/>
        </w:rPr>
      </w:pPr>
    </w:p>
    <w:p w:rsidR="005A7195" w:rsidRDefault="00E7023C">
      <w:pPr>
        <w:ind w:firstLineChars="195" w:firstLine="546"/>
        <w:jc w:val="center"/>
        <w:rPr>
          <w:rFonts w:ascii="黑体" w:eastAsia="黑体" w:hAnsi="黑体"/>
          <w:sz w:val="28"/>
          <w:szCs w:val="24"/>
        </w:rPr>
      </w:pPr>
      <w:r>
        <w:rPr>
          <w:rFonts w:ascii="黑体" w:eastAsia="黑体" w:hAnsi="黑体" w:hint="eastAsia"/>
          <w:sz w:val="28"/>
          <w:szCs w:val="24"/>
        </w:rPr>
        <w:t>北京圣运律师事务所</w:t>
      </w:r>
    </w:p>
    <w:p w:rsidR="005A7195" w:rsidRDefault="00E7023C">
      <w:pPr>
        <w:ind w:firstLineChars="195" w:firstLine="546"/>
        <w:jc w:val="center"/>
        <w:rPr>
          <w:rFonts w:ascii="黑体" w:eastAsia="黑体" w:hAnsi="黑体"/>
          <w:sz w:val="28"/>
          <w:szCs w:val="24"/>
        </w:rPr>
      </w:pPr>
      <w:r>
        <w:rPr>
          <w:rFonts w:ascii="黑体" w:eastAsia="黑体" w:hAnsi="黑体" w:hint="eastAsia"/>
          <w:sz w:val="28"/>
          <w:szCs w:val="24"/>
        </w:rPr>
        <w:t>二〇一五年一月</w:t>
      </w:r>
    </w:p>
    <w:p w:rsidR="005A7195" w:rsidRDefault="00E7023C">
      <w:pPr>
        <w:widowControl/>
        <w:ind w:firstLineChars="650" w:firstLine="1560"/>
        <w:jc w:val="left"/>
        <w:rPr>
          <w:rFonts w:ascii="黑体" w:eastAsia="黑体" w:hAnsi="黑体"/>
          <w:sz w:val="22"/>
          <w:szCs w:val="24"/>
        </w:rPr>
      </w:pPr>
      <w:r>
        <w:rPr>
          <w:rFonts w:ascii="黑体" w:eastAsia="黑体" w:hAnsi="黑体"/>
          <w:sz w:val="24"/>
          <w:szCs w:val="24"/>
        </w:rPr>
        <w:br w:type="page"/>
      </w:r>
    </w:p>
    <w:p w:rsidR="005A7195" w:rsidRDefault="005A7195">
      <w:pPr>
        <w:ind w:firstLineChars="0" w:firstLine="0"/>
        <w:rPr>
          <w:rFonts w:ascii="黑体" w:eastAsia="黑体" w:hAnsi="黑体"/>
          <w:b/>
          <w:sz w:val="40"/>
          <w:szCs w:val="44"/>
        </w:rPr>
        <w:sectPr w:rsidR="005A719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720"/>
          <w:titlePg/>
          <w:docGrid w:type="lines" w:linePitch="312"/>
        </w:sectPr>
      </w:pPr>
    </w:p>
    <w:p w:rsidR="005A7195" w:rsidRDefault="00E7023C">
      <w:pPr>
        <w:pStyle w:val="TOC1"/>
        <w:ind w:firstLine="803"/>
        <w:jc w:val="center"/>
      </w:pPr>
      <w:r>
        <w:rPr>
          <w:rFonts w:hint="eastAsia"/>
          <w:sz w:val="32"/>
          <w:lang w:val="zh-CN"/>
        </w:rPr>
        <w:lastRenderedPageBreak/>
        <w:t>目</w:t>
      </w:r>
      <w:r>
        <w:rPr>
          <w:sz w:val="32"/>
          <w:lang w:val="zh-CN"/>
        </w:rPr>
        <w:t xml:space="preserve">  </w:t>
      </w:r>
      <w:r>
        <w:rPr>
          <w:rFonts w:hint="eastAsia"/>
          <w:sz w:val="32"/>
          <w:lang w:val="zh-CN"/>
        </w:rPr>
        <w:t>录</w:t>
      </w:r>
    </w:p>
    <w:p w:rsidR="005A7195" w:rsidRDefault="00E7023C">
      <w:pPr>
        <w:ind w:rightChars="377" w:right="792" w:firstLineChars="0" w:firstLine="0"/>
        <w:rPr>
          <w:rFonts w:ascii="宋体"/>
          <w:sz w:val="28"/>
          <w:szCs w:val="24"/>
        </w:rPr>
      </w:pPr>
      <w:r>
        <w:rPr>
          <w:rFonts w:ascii="宋体" w:hAnsi="宋体" w:hint="eastAsia"/>
          <w:sz w:val="28"/>
          <w:szCs w:val="24"/>
        </w:rPr>
        <w:t>一、</w:t>
      </w:r>
      <w:r>
        <w:rPr>
          <w:rFonts w:ascii="宋体" w:hAnsi="宋体"/>
          <w:sz w:val="28"/>
          <w:szCs w:val="24"/>
        </w:rPr>
        <w:t>2014</w:t>
      </w:r>
      <w:r>
        <w:rPr>
          <w:rFonts w:ascii="宋体" w:hAnsi="宋体" w:hint="eastAsia"/>
          <w:sz w:val="28"/>
          <w:szCs w:val="24"/>
        </w:rPr>
        <w:t>年征地拆迁信息公开情况概述………………………</w:t>
      </w:r>
      <w:r>
        <w:rPr>
          <w:rFonts w:ascii="宋体" w:hAnsi="宋体"/>
          <w:sz w:val="28"/>
          <w:szCs w:val="24"/>
        </w:rPr>
        <w:t>1</w:t>
      </w:r>
    </w:p>
    <w:p w:rsidR="005A7195" w:rsidRDefault="00E7023C">
      <w:pPr>
        <w:ind w:firstLineChars="0" w:firstLine="0"/>
        <w:rPr>
          <w:rFonts w:ascii="宋体"/>
          <w:sz w:val="28"/>
          <w:szCs w:val="24"/>
        </w:rPr>
      </w:pPr>
      <w:r>
        <w:rPr>
          <w:rFonts w:ascii="宋体" w:hAnsi="宋体" w:hint="eastAsia"/>
          <w:sz w:val="28"/>
          <w:szCs w:val="24"/>
        </w:rPr>
        <w:t>二、</w:t>
      </w:r>
      <w:r>
        <w:rPr>
          <w:rFonts w:ascii="宋体" w:hAnsi="宋体"/>
          <w:sz w:val="28"/>
          <w:szCs w:val="24"/>
        </w:rPr>
        <w:t>2014</w:t>
      </w:r>
      <w:r>
        <w:rPr>
          <w:rFonts w:ascii="宋体" w:hAnsi="宋体" w:hint="eastAsia"/>
          <w:sz w:val="28"/>
          <w:szCs w:val="24"/>
        </w:rPr>
        <w:t>年征地拆迁信息公开的特点…………………………</w:t>
      </w:r>
      <w:r>
        <w:rPr>
          <w:rFonts w:ascii="宋体" w:hAnsi="宋体" w:hint="eastAsia"/>
          <w:sz w:val="28"/>
          <w:szCs w:val="24"/>
        </w:rPr>
        <w:t>2</w:t>
      </w:r>
    </w:p>
    <w:p w:rsidR="005A7195" w:rsidRDefault="00E7023C">
      <w:pPr>
        <w:ind w:firstLineChars="175" w:firstLine="420"/>
        <w:rPr>
          <w:rFonts w:ascii="宋体"/>
          <w:sz w:val="24"/>
          <w:szCs w:val="24"/>
        </w:rPr>
      </w:pPr>
      <w:r>
        <w:rPr>
          <w:rFonts w:ascii="宋体" w:hAnsi="宋体" w:hint="eastAsia"/>
          <w:sz w:val="24"/>
          <w:szCs w:val="24"/>
        </w:rPr>
        <w:t>（一）新媒体提供的机遇和挑战……………………………………</w:t>
      </w:r>
      <w:r>
        <w:rPr>
          <w:rFonts w:ascii="宋体" w:hAnsi="宋体"/>
          <w:sz w:val="24"/>
          <w:szCs w:val="24"/>
        </w:rPr>
        <w:t>2</w:t>
      </w:r>
    </w:p>
    <w:p w:rsidR="005A7195" w:rsidRDefault="00E7023C">
      <w:pPr>
        <w:ind w:firstLineChars="0" w:firstLine="420"/>
        <w:rPr>
          <w:rFonts w:ascii="宋体"/>
          <w:sz w:val="24"/>
          <w:szCs w:val="24"/>
        </w:rPr>
      </w:pPr>
      <w:r>
        <w:rPr>
          <w:rFonts w:ascii="宋体" w:hAnsi="宋体" w:hint="eastAsia"/>
          <w:sz w:val="24"/>
          <w:szCs w:val="24"/>
        </w:rPr>
        <w:t>（二）依法治国与信息公开…………………………………………</w:t>
      </w:r>
      <w:r>
        <w:rPr>
          <w:rFonts w:ascii="宋体" w:hAnsi="宋体" w:hint="eastAsia"/>
          <w:sz w:val="24"/>
          <w:szCs w:val="24"/>
        </w:rPr>
        <w:t>3</w:t>
      </w:r>
    </w:p>
    <w:p w:rsidR="005A7195" w:rsidRDefault="00E7023C">
      <w:pPr>
        <w:ind w:firstLineChars="0" w:firstLine="420"/>
        <w:rPr>
          <w:rFonts w:ascii="宋体"/>
          <w:sz w:val="24"/>
          <w:szCs w:val="24"/>
        </w:rPr>
      </w:pPr>
      <w:r>
        <w:rPr>
          <w:rFonts w:ascii="宋体" w:hAnsi="宋体" w:hint="eastAsia"/>
          <w:sz w:val="24"/>
          <w:szCs w:val="24"/>
        </w:rPr>
        <w:t>（三）成就与问题同在………………………………………………</w:t>
      </w:r>
      <w:r>
        <w:rPr>
          <w:rFonts w:ascii="宋体" w:hAnsi="宋体"/>
          <w:sz w:val="24"/>
          <w:szCs w:val="24"/>
        </w:rPr>
        <w:t>3</w:t>
      </w:r>
    </w:p>
    <w:p w:rsidR="005A7195" w:rsidRDefault="005A7195">
      <w:pPr>
        <w:ind w:firstLineChars="195" w:firstLine="468"/>
        <w:rPr>
          <w:rFonts w:ascii="宋体"/>
          <w:sz w:val="24"/>
          <w:szCs w:val="24"/>
        </w:rPr>
      </w:pPr>
    </w:p>
    <w:p w:rsidR="005A7195" w:rsidRDefault="00E7023C">
      <w:pPr>
        <w:ind w:firstLineChars="0" w:firstLine="0"/>
        <w:rPr>
          <w:rFonts w:ascii="宋体"/>
          <w:sz w:val="28"/>
          <w:szCs w:val="24"/>
        </w:rPr>
      </w:pPr>
      <w:r>
        <w:rPr>
          <w:rFonts w:ascii="宋体" w:hAnsi="宋体" w:hint="eastAsia"/>
          <w:sz w:val="28"/>
          <w:szCs w:val="24"/>
        </w:rPr>
        <w:t>三、</w:t>
      </w:r>
      <w:r>
        <w:rPr>
          <w:rFonts w:ascii="宋体" w:hAnsi="宋体"/>
          <w:sz w:val="28"/>
          <w:szCs w:val="24"/>
        </w:rPr>
        <w:t>2014</w:t>
      </w:r>
      <w:r>
        <w:rPr>
          <w:rFonts w:ascii="宋体" w:hAnsi="宋体" w:hint="eastAsia"/>
          <w:sz w:val="28"/>
          <w:szCs w:val="24"/>
        </w:rPr>
        <w:t>年征地拆迁信息公开面临的挑战……………………</w:t>
      </w:r>
      <w:r>
        <w:rPr>
          <w:rFonts w:ascii="宋体" w:hAnsi="宋体"/>
          <w:sz w:val="28"/>
          <w:szCs w:val="24"/>
        </w:rPr>
        <w:t>4</w:t>
      </w:r>
    </w:p>
    <w:p w:rsidR="005A7195" w:rsidRDefault="00E7023C">
      <w:pPr>
        <w:ind w:firstLineChars="0" w:firstLine="420"/>
        <w:jc w:val="left"/>
        <w:rPr>
          <w:rFonts w:ascii="宋体"/>
          <w:sz w:val="24"/>
          <w:szCs w:val="24"/>
        </w:rPr>
      </w:pPr>
      <w:r>
        <w:rPr>
          <w:rFonts w:ascii="宋体" w:hAnsi="宋体" w:hint="eastAsia"/>
          <w:sz w:val="24"/>
          <w:szCs w:val="24"/>
        </w:rPr>
        <w:t>（一）信息公开申请不回复…………………………………………</w:t>
      </w:r>
      <w:r>
        <w:rPr>
          <w:rFonts w:ascii="宋体" w:hAnsi="宋体"/>
          <w:sz w:val="24"/>
          <w:szCs w:val="24"/>
        </w:rPr>
        <w:t>4</w:t>
      </w:r>
    </w:p>
    <w:p w:rsidR="005A7195" w:rsidRDefault="00E7023C">
      <w:pPr>
        <w:ind w:firstLineChars="0" w:firstLine="420"/>
        <w:rPr>
          <w:rFonts w:ascii="宋体"/>
          <w:sz w:val="24"/>
          <w:szCs w:val="24"/>
        </w:rPr>
      </w:pPr>
      <w:r>
        <w:rPr>
          <w:rFonts w:ascii="宋体" w:hAnsi="宋体" w:hint="eastAsia"/>
          <w:sz w:val="24"/>
          <w:szCs w:val="24"/>
        </w:rPr>
        <w:t>（二）信息公开程度低………………………………………………</w:t>
      </w:r>
      <w:r>
        <w:rPr>
          <w:rFonts w:ascii="宋体" w:hAnsi="宋体" w:hint="eastAsia"/>
          <w:sz w:val="24"/>
          <w:szCs w:val="24"/>
        </w:rPr>
        <w:t>5</w:t>
      </w:r>
    </w:p>
    <w:p w:rsidR="005A7195" w:rsidRDefault="00E7023C">
      <w:pPr>
        <w:ind w:firstLineChars="0" w:firstLine="420"/>
        <w:rPr>
          <w:rFonts w:ascii="宋体"/>
          <w:sz w:val="24"/>
          <w:szCs w:val="24"/>
        </w:rPr>
      </w:pPr>
      <w:r>
        <w:rPr>
          <w:rFonts w:ascii="宋体" w:hAnsi="宋体" w:hint="eastAsia"/>
          <w:sz w:val="24"/>
          <w:szCs w:val="24"/>
        </w:rPr>
        <w:t>（三）信息不集中……………………………………………………</w:t>
      </w:r>
      <w:r>
        <w:rPr>
          <w:rFonts w:ascii="宋体" w:hAnsi="宋体" w:hint="eastAsia"/>
          <w:sz w:val="24"/>
          <w:szCs w:val="24"/>
        </w:rPr>
        <w:t>5</w:t>
      </w:r>
    </w:p>
    <w:p w:rsidR="005A7195" w:rsidRDefault="00E7023C">
      <w:pPr>
        <w:ind w:firstLineChars="0" w:firstLine="420"/>
        <w:rPr>
          <w:rFonts w:ascii="宋体"/>
          <w:sz w:val="24"/>
          <w:szCs w:val="24"/>
        </w:rPr>
      </w:pPr>
      <w:r>
        <w:rPr>
          <w:rFonts w:ascii="宋体" w:hAnsi="宋体" w:hint="eastAsia"/>
          <w:sz w:val="24"/>
          <w:szCs w:val="24"/>
        </w:rPr>
        <w:t>（四）信息查找获取难………………………………………………</w:t>
      </w:r>
      <w:r>
        <w:rPr>
          <w:rFonts w:ascii="宋体" w:hAnsi="宋体" w:hint="eastAsia"/>
          <w:sz w:val="24"/>
          <w:szCs w:val="24"/>
        </w:rPr>
        <w:t>6</w:t>
      </w:r>
      <w:r>
        <w:rPr>
          <w:rFonts w:ascii="宋体"/>
          <w:sz w:val="24"/>
          <w:szCs w:val="24"/>
        </w:rPr>
        <w:tab/>
      </w:r>
    </w:p>
    <w:p w:rsidR="005A7195" w:rsidRDefault="00E7023C">
      <w:pPr>
        <w:ind w:firstLineChars="0" w:firstLine="420"/>
        <w:rPr>
          <w:rFonts w:ascii="宋体"/>
          <w:sz w:val="24"/>
          <w:szCs w:val="24"/>
        </w:rPr>
      </w:pPr>
      <w:r>
        <w:rPr>
          <w:rFonts w:ascii="宋体" w:hAnsi="宋体" w:hint="eastAsia"/>
          <w:sz w:val="24"/>
          <w:szCs w:val="24"/>
        </w:rPr>
        <w:t>（五）信息公开难以推陈出新………………………………………</w:t>
      </w:r>
      <w:r>
        <w:rPr>
          <w:rFonts w:ascii="宋体" w:hAnsi="宋体" w:hint="eastAsia"/>
          <w:sz w:val="24"/>
          <w:szCs w:val="24"/>
        </w:rPr>
        <w:t>6</w:t>
      </w:r>
    </w:p>
    <w:p w:rsidR="005A7195" w:rsidRDefault="005A7195">
      <w:pPr>
        <w:ind w:firstLineChars="0" w:firstLine="0"/>
        <w:rPr>
          <w:rFonts w:ascii="宋体"/>
          <w:sz w:val="24"/>
          <w:szCs w:val="24"/>
        </w:rPr>
      </w:pPr>
    </w:p>
    <w:p w:rsidR="005A7195" w:rsidRDefault="00E7023C">
      <w:pPr>
        <w:ind w:firstLineChars="0" w:firstLine="0"/>
        <w:rPr>
          <w:rFonts w:ascii="宋体"/>
          <w:sz w:val="28"/>
          <w:szCs w:val="24"/>
        </w:rPr>
      </w:pPr>
      <w:r>
        <w:rPr>
          <w:rFonts w:ascii="宋体" w:hAnsi="宋体" w:hint="eastAsia"/>
          <w:sz w:val="28"/>
          <w:szCs w:val="24"/>
        </w:rPr>
        <w:t>四、</w:t>
      </w:r>
      <w:r>
        <w:rPr>
          <w:rFonts w:ascii="宋体" w:hAnsi="宋体"/>
          <w:sz w:val="28"/>
          <w:szCs w:val="24"/>
        </w:rPr>
        <w:t>2015</w:t>
      </w:r>
      <w:r>
        <w:rPr>
          <w:rFonts w:ascii="宋体" w:hAnsi="宋体" w:hint="eastAsia"/>
          <w:sz w:val="28"/>
          <w:szCs w:val="24"/>
        </w:rPr>
        <w:t>年：对策与展望………………………………………</w:t>
      </w:r>
      <w:r>
        <w:rPr>
          <w:rFonts w:ascii="宋体" w:hAnsi="宋体" w:hint="eastAsia"/>
          <w:sz w:val="28"/>
          <w:szCs w:val="24"/>
        </w:rPr>
        <w:t>7</w:t>
      </w:r>
    </w:p>
    <w:p w:rsidR="005A7195" w:rsidRDefault="00E7023C">
      <w:pPr>
        <w:ind w:firstLineChars="0" w:firstLine="420"/>
        <w:rPr>
          <w:rFonts w:ascii="宋体"/>
          <w:b/>
          <w:sz w:val="24"/>
          <w:szCs w:val="24"/>
        </w:rPr>
      </w:pPr>
      <w:r>
        <w:rPr>
          <w:rFonts w:ascii="宋体" w:hAnsi="宋体" w:hint="eastAsia"/>
          <w:sz w:val="24"/>
          <w:szCs w:val="24"/>
        </w:rPr>
        <w:t>（一）制定《政府信息公开法》……………………………………</w:t>
      </w:r>
      <w:r>
        <w:rPr>
          <w:rFonts w:ascii="宋体" w:hAnsi="宋体" w:hint="eastAsia"/>
          <w:sz w:val="24"/>
          <w:szCs w:val="24"/>
        </w:rPr>
        <w:t>7</w:t>
      </w:r>
    </w:p>
    <w:p w:rsidR="005A7195" w:rsidRDefault="00E7023C">
      <w:pPr>
        <w:ind w:firstLineChars="0" w:firstLine="420"/>
        <w:rPr>
          <w:rFonts w:ascii="宋体"/>
          <w:sz w:val="24"/>
          <w:szCs w:val="24"/>
        </w:rPr>
      </w:pPr>
      <w:r>
        <w:rPr>
          <w:rFonts w:ascii="宋体" w:hAnsi="宋体" w:hint="eastAsia"/>
          <w:sz w:val="24"/>
          <w:szCs w:val="24"/>
        </w:rPr>
        <w:t>（二）行政机关主动公开……………………………………………</w:t>
      </w:r>
      <w:r>
        <w:rPr>
          <w:rFonts w:ascii="宋体" w:hAnsi="宋体" w:hint="eastAsia"/>
          <w:sz w:val="24"/>
          <w:szCs w:val="24"/>
        </w:rPr>
        <w:t>7</w:t>
      </w:r>
    </w:p>
    <w:p w:rsidR="005A7195" w:rsidRDefault="00E7023C">
      <w:pPr>
        <w:ind w:firstLineChars="0" w:firstLine="420"/>
        <w:rPr>
          <w:rFonts w:ascii="宋体"/>
          <w:sz w:val="24"/>
          <w:szCs w:val="24"/>
        </w:rPr>
      </w:pPr>
      <w:r>
        <w:rPr>
          <w:rFonts w:ascii="宋体" w:hAnsi="宋体" w:hint="eastAsia"/>
          <w:sz w:val="24"/>
          <w:szCs w:val="24"/>
        </w:rPr>
        <w:t>（三）法律制度具体化………………………………………………</w:t>
      </w:r>
      <w:r>
        <w:rPr>
          <w:rFonts w:ascii="宋体" w:hAnsi="宋体" w:hint="eastAsia"/>
          <w:sz w:val="24"/>
          <w:szCs w:val="24"/>
        </w:rPr>
        <w:t>8</w:t>
      </w:r>
    </w:p>
    <w:p w:rsidR="005A7195" w:rsidRDefault="00E7023C">
      <w:pPr>
        <w:ind w:firstLineChars="0" w:firstLine="420"/>
        <w:rPr>
          <w:rFonts w:ascii="宋体"/>
          <w:sz w:val="24"/>
          <w:szCs w:val="24"/>
        </w:rPr>
      </w:pPr>
      <w:r>
        <w:rPr>
          <w:rFonts w:ascii="宋体" w:hAnsi="宋体" w:hint="eastAsia"/>
          <w:sz w:val="24"/>
          <w:szCs w:val="24"/>
        </w:rPr>
        <w:t>（四）完善保密法……………………………………………………</w:t>
      </w:r>
      <w:r>
        <w:rPr>
          <w:rFonts w:ascii="宋体" w:hAnsi="宋体" w:hint="eastAsia"/>
          <w:sz w:val="24"/>
          <w:szCs w:val="24"/>
        </w:rPr>
        <w:t>8</w:t>
      </w:r>
    </w:p>
    <w:p w:rsidR="005A7195" w:rsidRDefault="00E7023C">
      <w:pPr>
        <w:ind w:firstLineChars="0" w:firstLine="420"/>
        <w:rPr>
          <w:rFonts w:ascii="宋体"/>
          <w:sz w:val="24"/>
          <w:szCs w:val="24"/>
        </w:rPr>
      </w:pPr>
      <w:r>
        <w:rPr>
          <w:rFonts w:ascii="宋体" w:hAnsi="宋体" w:hint="eastAsia"/>
          <w:sz w:val="24"/>
          <w:szCs w:val="24"/>
        </w:rPr>
        <w:t>（五）鼓励司法救济的使用…………………………………………</w:t>
      </w:r>
      <w:r>
        <w:rPr>
          <w:rFonts w:ascii="宋体" w:hAnsi="宋体" w:hint="eastAsia"/>
          <w:sz w:val="24"/>
          <w:szCs w:val="24"/>
        </w:rPr>
        <w:t>8</w:t>
      </w:r>
    </w:p>
    <w:p w:rsidR="005A7195" w:rsidRDefault="005A7195">
      <w:pPr>
        <w:ind w:firstLineChars="0" w:firstLine="0"/>
        <w:rPr>
          <w:rFonts w:ascii="宋体"/>
          <w:b/>
          <w:sz w:val="28"/>
          <w:szCs w:val="24"/>
        </w:rPr>
      </w:pPr>
    </w:p>
    <w:p w:rsidR="005A7195" w:rsidRDefault="005A7195">
      <w:pPr>
        <w:ind w:firstLine="440"/>
        <w:rPr>
          <w:sz w:val="22"/>
          <w:lang w:val="zh-CN"/>
        </w:rPr>
      </w:pPr>
    </w:p>
    <w:p w:rsidR="005A7195" w:rsidRDefault="005A7195">
      <w:pPr>
        <w:widowControl/>
        <w:ind w:firstLineChars="0" w:firstLine="0"/>
        <w:jc w:val="center"/>
        <w:rPr>
          <w:rFonts w:ascii="黑体" w:eastAsia="黑体" w:hAnsi="黑体"/>
          <w:b/>
          <w:sz w:val="40"/>
          <w:szCs w:val="44"/>
        </w:rPr>
        <w:sectPr w:rsidR="005A7195">
          <w:footerReference w:type="default" r:id="rId16"/>
          <w:footerReference w:type="first" r:id="rId17"/>
          <w:type w:val="continuous"/>
          <w:pgSz w:w="11906" w:h="16838"/>
          <w:pgMar w:top="1440" w:right="1800" w:bottom="1440" w:left="1800" w:header="851" w:footer="992" w:gutter="0"/>
          <w:pgNumType w:start="1"/>
          <w:cols w:space="720"/>
          <w:titlePg/>
          <w:docGrid w:type="lines" w:linePitch="312"/>
        </w:sectPr>
      </w:pPr>
    </w:p>
    <w:p w:rsidR="005A7195" w:rsidRDefault="005A7195">
      <w:pPr>
        <w:widowControl/>
        <w:ind w:firstLineChars="0" w:firstLine="0"/>
        <w:jc w:val="center"/>
        <w:rPr>
          <w:rFonts w:ascii="黑体" w:eastAsia="黑体" w:hAnsi="黑体"/>
          <w:b/>
          <w:color w:val="000000"/>
          <w:sz w:val="44"/>
          <w:szCs w:val="44"/>
        </w:rPr>
        <w:sectPr w:rsidR="005A7195">
          <w:footerReference w:type="first" r:id="rId18"/>
          <w:pgSz w:w="11906" w:h="16838"/>
          <w:pgMar w:top="1440" w:right="1800" w:bottom="1440" w:left="1800" w:header="851" w:footer="992" w:gutter="0"/>
          <w:pgNumType w:start="1"/>
          <w:cols w:space="720"/>
          <w:titlePg/>
          <w:docGrid w:type="lines" w:linePitch="312"/>
        </w:sectPr>
      </w:pPr>
    </w:p>
    <w:p w:rsidR="005A7195" w:rsidRDefault="00E7023C">
      <w:pPr>
        <w:widowControl/>
        <w:ind w:firstLineChars="0" w:firstLine="0"/>
        <w:jc w:val="center"/>
        <w:rPr>
          <w:rFonts w:ascii="黑体" w:eastAsia="黑体" w:hAnsi="黑体"/>
          <w:bCs/>
          <w:color w:val="365F91"/>
          <w:kern w:val="0"/>
          <w:sz w:val="40"/>
          <w:szCs w:val="44"/>
        </w:rPr>
      </w:pPr>
      <w:bookmarkStart w:id="0" w:name="OLE_LINK5"/>
      <w:bookmarkStart w:id="1" w:name="_GoBack"/>
      <w:r>
        <w:rPr>
          <w:rFonts w:ascii="黑体" w:eastAsia="黑体" w:hAnsi="黑体"/>
          <w:b/>
          <w:color w:val="000000"/>
          <w:sz w:val="44"/>
          <w:szCs w:val="44"/>
        </w:rPr>
        <w:lastRenderedPageBreak/>
        <w:t>2014</w:t>
      </w:r>
      <w:r>
        <w:rPr>
          <w:rFonts w:ascii="黑体" w:eastAsia="黑体" w:hAnsi="黑体" w:hint="eastAsia"/>
          <w:b/>
          <w:color w:val="000000"/>
          <w:sz w:val="44"/>
          <w:szCs w:val="44"/>
        </w:rPr>
        <w:t>年征地拆迁信息公开年度报告</w:t>
      </w:r>
    </w:p>
    <w:bookmarkEnd w:id="0"/>
    <w:bookmarkEnd w:id="1"/>
    <w:p w:rsidR="005A7195" w:rsidRDefault="00E7023C">
      <w:pPr>
        <w:ind w:firstLine="480"/>
        <w:rPr>
          <w:rFonts w:ascii="宋体"/>
          <w:sz w:val="24"/>
          <w:szCs w:val="24"/>
        </w:rPr>
      </w:pPr>
      <w:r>
        <w:rPr>
          <w:rFonts w:ascii="宋体" w:hAnsi="宋体"/>
          <w:sz w:val="24"/>
          <w:szCs w:val="24"/>
        </w:rPr>
        <w:t>2014</w:t>
      </w:r>
      <w:r>
        <w:rPr>
          <w:rFonts w:ascii="宋体" w:hAnsi="宋体" w:hint="eastAsia"/>
          <w:sz w:val="24"/>
          <w:szCs w:val="24"/>
        </w:rPr>
        <w:t>年是全面贯彻中共十八大四中全会社会主义法治理念进行依法治国的一年。</w:t>
      </w:r>
      <w:r>
        <w:rPr>
          <w:rFonts w:ascii="宋体" w:hAnsi="宋体"/>
          <w:sz w:val="24"/>
          <w:szCs w:val="24"/>
        </w:rPr>
        <w:t>1</w:t>
      </w:r>
      <w:r>
        <w:rPr>
          <w:rFonts w:ascii="宋体" w:hAnsi="宋体" w:hint="eastAsia"/>
          <w:sz w:val="24"/>
          <w:szCs w:val="24"/>
        </w:rPr>
        <w:t>月</w:t>
      </w:r>
      <w:r>
        <w:rPr>
          <w:rFonts w:ascii="宋体" w:hAnsi="宋体"/>
          <w:sz w:val="24"/>
          <w:szCs w:val="24"/>
        </w:rPr>
        <w:t>17</w:t>
      </w:r>
      <w:r>
        <w:rPr>
          <w:rFonts w:ascii="宋体" w:hAnsi="宋体" w:hint="eastAsia"/>
          <w:sz w:val="24"/>
          <w:szCs w:val="24"/>
        </w:rPr>
        <w:t>日是国务院第</w:t>
      </w:r>
      <w:r>
        <w:rPr>
          <w:rFonts w:ascii="宋体" w:hAnsi="宋体"/>
          <w:sz w:val="24"/>
          <w:szCs w:val="24"/>
        </w:rPr>
        <w:t>492</w:t>
      </w:r>
      <w:r>
        <w:rPr>
          <w:rFonts w:ascii="宋体" w:hAnsi="宋体" w:hint="eastAsia"/>
          <w:sz w:val="24"/>
          <w:szCs w:val="24"/>
        </w:rPr>
        <w:t>号令公布的《政府信息公开条例》（以下简称《条例》）八周年纪念日。回顾过去的</w:t>
      </w:r>
      <w:r>
        <w:rPr>
          <w:rFonts w:ascii="宋体" w:hAnsi="宋体"/>
          <w:sz w:val="24"/>
          <w:szCs w:val="24"/>
        </w:rPr>
        <w:t>2014</w:t>
      </w:r>
      <w:r>
        <w:rPr>
          <w:rFonts w:ascii="宋体" w:hAnsi="宋体" w:hint="eastAsia"/>
          <w:sz w:val="24"/>
          <w:szCs w:val="24"/>
        </w:rPr>
        <w:t>年，我们欣喜的看到民众对于政府信息公开的热情高涨，这也成为政府工作的重点之一。但我们也悲哀的看到这一年政府信息公开的状况仍然是不容乐观，尤其是征地拆迁信息公开还有很大的改善空间。本报告着重阐述</w:t>
      </w:r>
      <w:r>
        <w:rPr>
          <w:rFonts w:ascii="宋体" w:hAnsi="宋体"/>
          <w:sz w:val="24"/>
          <w:szCs w:val="24"/>
        </w:rPr>
        <w:t>2014</w:t>
      </w:r>
      <w:r>
        <w:rPr>
          <w:rFonts w:ascii="宋体" w:hAnsi="宋体" w:hint="eastAsia"/>
          <w:sz w:val="24"/>
          <w:szCs w:val="24"/>
        </w:rPr>
        <w:t>年国内征地拆迁信息公开的情况进而分析其对征地拆迁的影响，以期对分解征地拆迁矛盾有所裨益。</w:t>
      </w:r>
    </w:p>
    <w:p w:rsidR="005A7195" w:rsidRDefault="005A7195">
      <w:pPr>
        <w:ind w:firstLine="480"/>
        <w:rPr>
          <w:rFonts w:ascii="宋体"/>
          <w:sz w:val="24"/>
          <w:szCs w:val="24"/>
        </w:rPr>
      </w:pPr>
    </w:p>
    <w:p w:rsidR="005A7195" w:rsidRDefault="00E7023C">
      <w:pPr>
        <w:ind w:firstLineChars="195" w:firstLine="548"/>
        <w:rPr>
          <w:rFonts w:ascii="宋体"/>
          <w:b/>
          <w:sz w:val="28"/>
          <w:szCs w:val="24"/>
        </w:rPr>
      </w:pPr>
      <w:r>
        <w:rPr>
          <w:rFonts w:ascii="宋体" w:hAnsi="宋体" w:hint="eastAsia"/>
          <w:b/>
          <w:sz w:val="28"/>
          <w:szCs w:val="24"/>
        </w:rPr>
        <w:t>一、</w:t>
      </w:r>
      <w:r>
        <w:rPr>
          <w:rFonts w:ascii="宋体" w:hAnsi="宋体"/>
          <w:b/>
          <w:sz w:val="28"/>
          <w:szCs w:val="24"/>
        </w:rPr>
        <w:t>2014</w:t>
      </w:r>
      <w:r>
        <w:rPr>
          <w:rFonts w:ascii="宋体" w:hAnsi="宋体" w:hint="eastAsia"/>
          <w:b/>
          <w:sz w:val="28"/>
          <w:szCs w:val="24"/>
        </w:rPr>
        <w:t>年征地拆迁信息公开情况概述</w:t>
      </w:r>
    </w:p>
    <w:p w:rsidR="005A7195" w:rsidRDefault="00E7023C">
      <w:pPr>
        <w:ind w:firstLine="480"/>
        <w:rPr>
          <w:rFonts w:ascii="宋体"/>
          <w:sz w:val="24"/>
          <w:szCs w:val="24"/>
        </w:rPr>
      </w:pPr>
      <w:r>
        <w:rPr>
          <w:rFonts w:ascii="宋体" w:hAnsi="宋体" w:hint="eastAsia"/>
          <w:sz w:val="24"/>
          <w:szCs w:val="24"/>
        </w:rPr>
        <w:t>城镇化的高速推进，将“征地拆迁”带入了中国人的视野，“征地拆迁”从此与中国人脚下的土地，土地上的房屋产生了密不可分的联系。</w:t>
      </w:r>
      <w:r>
        <w:rPr>
          <w:rFonts w:ascii="宋体" w:hAnsi="宋体"/>
          <w:sz w:val="24"/>
          <w:szCs w:val="24"/>
        </w:rPr>
        <w:t>2007</w:t>
      </w:r>
      <w:r>
        <w:rPr>
          <w:rFonts w:ascii="宋体" w:hAnsi="宋体" w:hint="eastAsia"/>
          <w:sz w:val="24"/>
          <w:szCs w:val="24"/>
        </w:rPr>
        <w:t>年，被称为“阳光法案”的《政府信息公开条例》的颁布</w:t>
      </w:r>
      <w:r>
        <w:rPr>
          <w:rFonts w:ascii="宋体" w:hAnsi="宋体" w:hint="eastAsia"/>
          <w:sz w:val="24"/>
          <w:szCs w:val="24"/>
        </w:rPr>
        <w:t>（</w:t>
      </w:r>
      <w:r>
        <w:rPr>
          <w:rFonts w:ascii="宋体" w:hAnsi="宋体"/>
          <w:sz w:val="24"/>
          <w:szCs w:val="24"/>
        </w:rPr>
        <w:t>2008</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w:t>
      </w:r>
      <w:r>
        <w:rPr>
          <w:rFonts w:ascii="宋体" w:hAnsi="宋体" w:hint="eastAsia"/>
          <w:sz w:val="24"/>
          <w:szCs w:val="24"/>
        </w:rPr>
        <w:t>日正式实施）标志着我国政府信息公开步入法制化轨道。根据调查显示，经检索</w:t>
      </w:r>
      <w:r>
        <w:rPr>
          <w:rFonts w:ascii="宋体" w:hAnsi="宋体"/>
          <w:sz w:val="24"/>
          <w:szCs w:val="24"/>
        </w:rPr>
        <w:t>43</w:t>
      </w:r>
      <w:r>
        <w:rPr>
          <w:rFonts w:ascii="宋体" w:hAnsi="宋体" w:hint="eastAsia"/>
          <w:sz w:val="24"/>
          <w:szCs w:val="24"/>
        </w:rPr>
        <w:t>个地方政府官方网站、拆迁主管部门网站或者拆迁信息网站，提供有效拆迁公告信息的有</w:t>
      </w:r>
      <w:r>
        <w:rPr>
          <w:rFonts w:ascii="宋体" w:hAnsi="宋体"/>
          <w:sz w:val="24"/>
          <w:szCs w:val="24"/>
        </w:rPr>
        <w:t>26</w:t>
      </w:r>
      <w:r>
        <w:rPr>
          <w:rFonts w:ascii="宋体" w:hAnsi="宋体" w:hint="eastAsia"/>
          <w:sz w:val="24"/>
          <w:szCs w:val="24"/>
        </w:rPr>
        <w:t>家，但仅有</w:t>
      </w:r>
      <w:r>
        <w:rPr>
          <w:rFonts w:ascii="宋体" w:hAnsi="宋体"/>
          <w:sz w:val="24"/>
          <w:szCs w:val="24"/>
        </w:rPr>
        <w:t>7</w:t>
      </w:r>
      <w:r>
        <w:rPr>
          <w:rFonts w:ascii="宋体" w:hAnsi="宋体" w:hint="eastAsia"/>
          <w:sz w:val="24"/>
          <w:szCs w:val="24"/>
        </w:rPr>
        <w:t>个地方政府能够在拆迁公告信息的标题中注明拆迁地段等核心信息，其余的则只在标题中提供拆迁公告文号。拆迁公告中能够提供拆迁地段示意图的仅有</w:t>
      </w:r>
      <w:r>
        <w:rPr>
          <w:rFonts w:ascii="宋体" w:hAnsi="宋体"/>
          <w:sz w:val="24"/>
          <w:szCs w:val="24"/>
        </w:rPr>
        <w:t>3</w:t>
      </w:r>
      <w:r>
        <w:rPr>
          <w:rFonts w:ascii="宋体" w:hAnsi="宋体" w:hint="eastAsia"/>
          <w:sz w:val="24"/>
          <w:szCs w:val="24"/>
        </w:rPr>
        <w:t>家。在中国的城市化进程中，几乎是一拆迁就会引发纠纷，引发纠纷就会有公民上访，甚至酿成群体性事件。</w:t>
      </w:r>
    </w:p>
    <w:p w:rsidR="005A7195" w:rsidRDefault="00E7023C">
      <w:pPr>
        <w:ind w:firstLine="480"/>
        <w:rPr>
          <w:rFonts w:ascii="宋体"/>
          <w:sz w:val="24"/>
          <w:szCs w:val="24"/>
        </w:rPr>
      </w:pPr>
      <w:r>
        <w:rPr>
          <w:rFonts w:ascii="宋体" w:hAnsi="宋体" w:hint="eastAsia"/>
          <w:sz w:val="24"/>
          <w:szCs w:val="24"/>
        </w:rPr>
        <w:t>拆迁纠纷频发最主要的原因是拆迁户不满征地拆迁补偿。政府公开征地拆迁信息或许能成为被拆迁人与政</w:t>
      </w:r>
      <w:r>
        <w:rPr>
          <w:rFonts w:ascii="宋体" w:hAnsi="宋体" w:hint="eastAsia"/>
          <w:sz w:val="24"/>
          <w:szCs w:val="24"/>
        </w:rPr>
        <w:t>府对话的一个渠道。土地征收与房屋拆迁由于牵涉甚广因而是一项严肃的工作，涉及诸多法律法规，关系广大人民群众的根本利益。政府必须坚持合法、公正、公开，必须制定和遵守严格的程序，必须给予公平合理合法的补偿，必须杜绝村干部利用职务便利贪污受贿，或发生失职渎职问题。</w:t>
      </w:r>
    </w:p>
    <w:p w:rsidR="005A7195" w:rsidRDefault="00E7023C">
      <w:pPr>
        <w:ind w:firstLine="480"/>
        <w:rPr>
          <w:rFonts w:ascii="宋体" w:hAnsi="宋体"/>
          <w:sz w:val="24"/>
          <w:szCs w:val="24"/>
        </w:rPr>
      </w:pPr>
      <w:r>
        <w:rPr>
          <w:rFonts w:ascii="宋体" w:hAnsi="宋体"/>
          <w:sz w:val="24"/>
          <w:szCs w:val="24"/>
        </w:rPr>
        <w:t>2014</w:t>
      </w:r>
      <w:r>
        <w:rPr>
          <w:rFonts w:ascii="宋体" w:hAnsi="宋体" w:hint="eastAsia"/>
          <w:sz w:val="24"/>
          <w:szCs w:val="24"/>
        </w:rPr>
        <w:t>年，中央对政府信息公开的政策思路和管理方式的有了重大转变，“公开”已成为主旋律。年初，国务院办公厅印发《</w:t>
      </w:r>
      <w:r>
        <w:rPr>
          <w:rFonts w:ascii="宋体" w:hAnsi="宋体"/>
          <w:sz w:val="24"/>
          <w:szCs w:val="24"/>
        </w:rPr>
        <w:t>2014</w:t>
      </w:r>
      <w:r>
        <w:rPr>
          <w:rFonts w:ascii="宋体" w:hAnsi="宋体" w:hint="eastAsia"/>
          <w:sz w:val="24"/>
          <w:szCs w:val="24"/>
        </w:rPr>
        <w:t>年政府信息公开工作要点》，对今年政府信息公开工作出部署，尤其强调了征地拆迁政府信息公开的重要性，引起社会广泛关注。《</w:t>
      </w:r>
      <w:r>
        <w:rPr>
          <w:rFonts w:ascii="宋体" w:hAnsi="宋体"/>
          <w:sz w:val="24"/>
          <w:szCs w:val="24"/>
        </w:rPr>
        <w:t>2014</w:t>
      </w:r>
      <w:r>
        <w:rPr>
          <w:rFonts w:ascii="宋体" w:hAnsi="宋体" w:hint="eastAsia"/>
          <w:sz w:val="24"/>
          <w:szCs w:val="24"/>
        </w:rPr>
        <w:t>年政府信息</w:t>
      </w:r>
      <w:r>
        <w:rPr>
          <w:rFonts w:ascii="宋体" w:hAnsi="宋体" w:hint="eastAsia"/>
          <w:sz w:val="24"/>
          <w:szCs w:val="24"/>
        </w:rPr>
        <w:t>公开工作要点》的实施积极推动了政府信息公开的制度化、规范化和常态化，为拆迁户行使知情权、监督权提供了良好的法律保障。</w:t>
      </w:r>
    </w:p>
    <w:p w:rsidR="005A7195" w:rsidRDefault="00E7023C">
      <w:pPr>
        <w:ind w:firstLine="480"/>
        <w:rPr>
          <w:rFonts w:ascii="宋体" w:hAnsi="宋体"/>
          <w:sz w:val="24"/>
          <w:szCs w:val="24"/>
        </w:rPr>
      </w:pPr>
      <w:r>
        <w:rPr>
          <w:rFonts w:ascii="宋体" w:hAnsi="宋体" w:hint="eastAsia"/>
          <w:sz w:val="24"/>
          <w:szCs w:val="24"/>
        </w:rPr>
        <w:t>我们律师事务所</w:t>
      </w:r>
      <w:r>
        <w:rPr>
          <w:rFonts w:ascii="宋体" w:hAnsi="宋体" w:hint="eastAsia"/>
          <w:sz w:val="24"/>
          <w:szCs w:val="24"/>
        </w:rPr>
        <w:t>2014</w:t>
      </w:r>
      <w:r>
        <w:rPr>
          <w:rFonts w:ascii="宋体" w:hAnsi="宋体" w:hint="eastAsia"/>
          <w:sz w:val="24"/>
          <w:szCs w:val="24"/>
        </w:rPr>
        <w:t>年在征地拆迁业务中，共计申请征地拆迁政府信息公开</w:t>
      </w:r>
      <w:r>
        <w:rPr>
          <w:rFonts w:ascii="宋体" w:hAnsi="宋体" w:hint="eastAsia"/>
          <w:sz w:val="24"/>
          <w:szCs w:val="24"/>
        </w:rPr>
        <w:t>17153</w:t>
      </w:r>
      <w:r>
        <w:rPr>
          <w:rFonts w:ascii="宋体" w:hAnsi="宋体" w:hint="eastAsia"/>
          <w:sz w:val="24"/>
          <w:szCs w:val="24"/>
        </w:rPr>
        <w:t>个，涉及省份除台湾、西藏、澳门和香港，政府信息公开申请覆盖全国</w:t>
      </w:r>
      <w:r>
        <w:rPr>
          <w:rFonts w:ascii="宋体" w:hAnsi="宋体" w:hint="eastAsia"/>
          <w:sz w:val="24"/>
          <w:szCs w:val="24"/>
        </w:rPr>
        <w:t>30</w:t>
      </w:r>
      <w:r>
        <w:rPr>
          <w:rFonts w:ascii="宋体" w:hAnsi="宋体" w:hint="eastAsia"/>
          <w:sz w:val="24"/>
          <w:szCs w:val="24"/>
        </w:rPr>
        <w:t>个省、自治区和直辖市。涉及</w:t>
      </w:r>
      <w:r>
        <w:rPr>
          <w:rFonts w:ascii="宋体" w:hAnsi="宋体" w:hint="eastAsia"/>
          <w:sz w:val="24"/>
          <w:szCs w:val="24"/>
        </w:rPr>
        <w:t>528</w:t>
      </w:r>
      <w:r>
        <w:rPr>
          <w:rFonts w:ascii="宋体" w:hAnsi="宋体" w:hint="eastAsia"/>
          <w:sz w:val="24"/>
          <w:szCs w:val="24"/>
        </w:rPr>
        <w:t>个政府行政部门，其中中央级政府行政部门</w:t>
      </w:r>
      <w:r>
        <w:rPr>
          <w:rFonts w:ascii="宋体" w:hAnsi="宋体" w:hint="eastAsia"/>
          <w:sz w:val="24"/>
          <w:szCs w:val="24"/>
        </w:rPr>
        <w:t>7</w:t>
      </w:r>
      <w:r>
        <w:rPr>
          <w:rFonts w:ascii="宋体" w:hAnsi="宋体" w:hint="eastAsia"/>
          <w:sz w:val="24"/>
          <w:szCs w:val="24"/>
        </w:rPr>
        <w:t>个，省级政府及其行政部门</w:t>
      </w:r>
      <w:r>
        <w:rPr>
          <w:rFonts w:ascii="宋体" w:hAnsi="宋体" w:hint="eastAsia"/>
          <w:sz w:val="24"/>
          <w:szCs w:val="24"/>
        </w:rPr>
        <w:t>127</w:t>
      </w:r>
      <w:r>
        <w:rPr>
          <w:rFonts w:ascii="宋体" w:hAnsi="宋体" w:hint="eastAsia"/>
          <w:sz w:val="24"/>
          <w:szCs w:val="24"/>
        </w:rPr>
        <w:t>个，市级政府及其行政部门</w:t>
      </w:r>
      <w:r>
        <w:rPr>
          <w:rFonts w:ascii="宋体" w:hAnsi="宋体" w:hint="eastAsia"/>
          <w:sz w:val="24"/>
          <w:szCs w:val="24"/>
        </w:rPr>
        <w:t>182</w:t>
      </w:r>
      <w:r>
        <w:rPr>
          <w:rFonts w:ascii="宋体" w:hAnsi="宋体" w:hint="eastAsia"/>
          <w:sz w:val="24"/>
          <w:szCs w:val="24"/>
        </w:rPr>
        <w:t>个，区、县级政府及其行政部门</w:t>
      </w:r>
      <w:r>
        <w:rPr>
          <w:rFonts w:ascii="宋体" w:hAnsi="宋体" w:hint="eastAsia"/>
          <w:sz w:val="24"/>
          <w:szCs w:val="24"/>
        </w:rPr>
        <w:t>209</w:t>
      </w:r>
      <w:r>
        <w:rPr>
          <w:rFonts w:ascii="宋体" w:hAnsi="宋体" w:hint="eastAsia"/>
          <w:sz w:val="24"/>
          <w:szCs w:val="24"/>
        </w:rPr>
        <w:t>个，乡、镇级政府信息部门</w:t>
      </w:r>
      <w:r>
        <w:rPr>
          <w:rFonts w:ascii="宋体" w:hAnsi="宋体" w:hint="eastAsia"/>
          <w:sz w:val="24"/>
          <w:szCs w:val="24"/>
        </w:rPr>
        <w:t>3</w:t>
      </w:r>
      <w:r>
        <w:rPr>
          <w:rFonts w:ascii="宋体" w:hAnsi="宋体" w:hint="eastAsia"/>
          <w:sz w:val="24"/>
          <w:szCs w:val="24"/>
        </w:rPr>
        <w:t>个。</w:t>
      </w:r>
      <w:r>
        <w:rPr>
          <w:rFonts w:ascii="宋体" w:hAnsi="宋体" w:hint="eastAsia"/>
          <w:sz w:val="24"/>
          <w:szCs w:val="24"/>
        </w:rPr>
        <w:t>具体情况见表一。</w:t>
      </w:r>
    </w:p>
    <w:p w:rsidR="005A7195" w:rsidRDefault="00324151" w:rsidP="009478DB">
      <w:pPr>
        <w:ind w:firstLine="420"/>
      </w:pPr>
      <w:r>
        <w:rPr>
          <w:noProof/>
        </w:rPr>
        <w:lastRenderedPageBreak/>
        <w:drawing>
          <wp:inline distT="0" distB="0" distL="0" distR="0">
            <wp:extent cx="4455160" cy="2030730"/>
            <wp:effectExtent l="0" t="0" r="2540" b="762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55160" cy="2030730"/>
                    </a:xfrm>
                    <a:prstGeom prst="rect">
                      <a:avLst/>
                    </a:prstGeom>
                    <a:noFill/>
                    <a:ln>
                      <a:noFill/>
                    </a:ln>
                  </pic:spPr>
                </pic:pic>
              </a:graphicData>
            </a:graphic>
          </wp:inline>
        </w:drawing>
      </w:r>
    </w:p>
    <w:p w:rsidR="005A7195" w:rsidRDefault="00E7023C" w:rsidP="009478DB">
      <w:pPr>
        <w:ind w:firstLine="420"/>
      </w:pPr>
      <w:r>
        <w:rPr>
          <w:rFonts w:hint="eastAsia"/>
        </w:rPr>
        <w:t>表一</w:t>
      </w:r>
      <w:r>
        <w:rPr>
          <w:rFonts w:hint="eastAsia"/>
        </w:rPr>
        <w:t xml:space="preserve"> 2014</w:t>
      </w:r>
      <w:r>
        <w:rPr>
          <w:rFonts w:hint="eastAsia"/>
        </w:rPr>
        <w:t>年圣运律所代理征</w:t>
      </w:r>
      <w:r>
        <w:rPr>
          <w:rFonts w:hint="eastAsia"/>
        </w:rPr>
        <w:t>地拆迁政府信息公开被要求公开的政府机关的行政级别</w:t>
      </w:r>
    </w:p>
    <w:p w:rsidR="005A7195" w:rsidRDefault="00E7023C">
      <w:pPr>
        <w:ind w:firstLine="480"/>
        <w:rPr>
          <w:rFonts w:ascii="宋体" w:hAnsi="宋体"/>
          <w:sz w:val="24"/>
          <w:szCs w:val="24"/>
        </w:rPr>
      </w:pPr>
      <w:r>
        <w:rPr>
          <w:rFonts w:ascii="宋体" w:hAnsi="宋体" w:hint="eastAsia"/>
          <w:sz w:val="24"/>
          <w:szCs w:val="24"/>
        </w:rPr>
        <w:t>但是某些政府部门处理公开征地拆迁信息申请时也存在很大的问题。例如存在“不回复”、“答非所问”的现象，或滥以国家秘密、商业秘密等理由“拒绝公开”，或以繁琐的申请程序为难申请人等等。网络调查</w:t>
      </w:r>
      <w:r>
        <w:rPr>
          <w:rFonts w:ascii="宋体" w:hAnsi="宋体"/>
          <w:sz w:val="24"/>
          <w:szCs w:val="24"/>
        </w:rPr>
        <w:t>49</w:t>
      </w:r>
      <w:r>
        <w:rPr>
          <w:rFonts w:ascii="宋体" w:hAnsi="宋体" w:hint="eastAsia"/>
          <w:sz w:val="24"/>
          <w:szCs w:val="24"/>
        </w:rPr>
        <w:t>个国务院部门、</w:t>
      </w:r>
      <w:r>
        <w:rPr>
          <w:rFonts w:ascii="宋体" w:hAnsi="宋体"/>
          <w:sz w:val="24"/>
          <w:szCs w:val="24"/>
        </w:rPr>
        <w:t>31</w:t>
      </w:r>
      <w:r>
        <w:rPr>
          <w:rFonts w:ascii="宋体" w:hAnsi="宋体" w:hint="eastAsia"/>
          <w:sz w:val="24"/>
          <w:szCs w:val="24"/>
        </w:rPr>
        <w:t>个省份政府征地拆迁信息公开年度报告时发现，多个部门和省份发布征地拆迁信息仍未规律化，并且尚未建立政务微博等新媒体平台以提升信息公开程度；有的官方网站征地拆迁栏目的最后更新时间仍然停留在</w:t>
      </w:r>
      <w:r>
        <w:rPr>
          <w:rFonts w:ascii="宋体" w:hAnsi="宋体"/>
          <w:sz w:val="24"/>
          <w:szCs w:val="24"/>
        </w:rPr>
        <w:t>2013</w:t>
      </w:r>
      <w:r>
        <w:rPr>
          <w:rFonts w:ascii="宋体" w:hAnsi="宋体" w:hint="eastAsia"/>
          <w:sz w:val="24"/>
          <w:szCs w:val="24"/>
        </w:rPr>
        <w:t>年。</w:t>
      </w:r>
    </w:p>
    <w:p w:rsidR="005A7195" w:rsidRDefault="005A7195">
      <w:pPr>
        <w:ind w:firstLineChars="195" w:firstLine="468"/>
        <w:rPr>
          <w:rFonts w:ascii="宋体"/>
          <w:sz w:val="24"/>
          <w:szCs w:val="24"/>
        </w:rPr>
      </w:pPr>
    </w:p>
    <w:p w:rsidR="005A7195" w:rsidRDefault="00E7023C">
      <w:pPr>
        <w:ind w:firstLineChars="195" w:firstLine="548"/>
        <w:rPr>
          <w:rFonts w:ascii="宋体"/>
          <w:b/>
          <w:sz w:val="28"/>
          <w:szCs w:val="24"/>
        </w:rPr>
      </w:pPr>
      <w:r>
        <w:rPr>
          <w:rFonts w:ascii="宋体" w:hAnsi="宋体" w:hint="eastAsia"/>
          <w:b/>
          <w:sz w:val="28"/>
          <w:szCs w:val="24"/>
        </w:rPr>
        <w:t>二、</w:t>
      </w:r>
      <w:r>
        <w:rPr>
          <w:rFonts w:ascii="宋体" w:hAnsi="宋体"/>
          <w:b/>
          <w:sz w:val="28"/>
          <w:szCs w:val="24"/>
        </w:rPr>
        <w:t>2014</w:t>
      </w:r>
      <w:r>
        <w:rPr>
          <w:rFonts w:ascii="宋体" w:hAnsi="宋体" w:hint="eastAsia"/>
          <w:b/>
          <w:sz w:val="28"/>
          <w:szCs w:val="24"/>
        </w:rPr>
        <w:t>年征地拆迁信息公开的特点</w:t>
      </w:r>
    </w:p>
    <w:p w:rsidR="005A7195" w:rsidRDefault="00E7023C">
      <w:pPr>
        <w:ind w:firstLineChars="0" w:firstLine="0"/>
        <w:rPr>
          <w:rFonts w:ascii="宋体"/>
          <w:sz w:val="24"/>
          <w:szCs w:val="24"/>
        </w:rPr>
      </w:pPr>
      <w:r>
        <w:rPr>
          <w:rFonts w:ascii="宋体"/>
          <w:sz w:val="24"/>
          <w:szCs w:val="24"/>
        </w:rPr>
        <w:tab/>
      </w:r>
      <w:r>
        <w:rPr>
          <w:rFonts w:ascii="宋体" w:hAnsi="宋体" w:hint="eastAsia"/>
          <w:sz w:val="24"/>
          <w:szCs w:val="24"/>
        </w:rPr>
        <w:t>当前，我国正处于从传统农业社会向现代工业社会的转型时期，同时也处于新媒体蓬勃发展、法治意识逐渐苏醒的时代背景之下。征地拆迁和由此引发的诸多矛盾逐步成为一个普遍的、尖锐的、突出的社会问题。总结</w:t>
      </w:r>
      <w:r>
        <w:rPr>
          <w:rFonts w:ascii="宋体" w:hAnsi="宋体"/>
          <w:sz w:val="24"/>
          <w:szCs w:val="24"/>
        </w:rPr>
        <w:t>2014</w:t>
      </w:r>
      <w:r>
        <w:rPr>
          <w:rFonts w:ascii="宋体" w:hAnsi="宋体" w:hint="eastAsia"/>
          <w:sz w:val="24"/>
          <w:szCs w:val="24"/>
        </w:rPr>
        <w:t>年征地拆迁信息公开，具有以下三个方面的特点：</w:t>
      </w:r>
    </w:p>
    <w:p w:rsidR="005A7195" w:rsidRDefault="00E7023C">
      <w:pPr>
        <w:pStyle w:val="11"/>
        <w:numPr>
          <w:ilvl w:val="0"/>
          <w:numId w:val="1"/>
        </w:numPr>
        <w:ind w:firstLineChars="0"/>
        <w:rPr>
          <w:rFonts w:ascii="宋体"/>
          <w:b/>
          <w:sz w:val="24"/>
          <w:szCs w:val="24"/>
        </w:rPr>
      </w:pPr>
      <w:r>
        <w:rPr>
          <w:rFonts w:ascii="宋体" w:hAnsi="宋体" w:hint="eastAsia"/>
          <w:b/>
          <w:sz w:val="24"/>
          <w:szCs w:val="24"/>
        </w:rPr>
        <w:t>新媒体提供的机遇和挑战</w:t>
      </w:r>
    </w:p>
    <w:p w:rsidR="005A7195" w:rsidRDefault="00E7023C">
      <w:pPr>
        <w:ind w:firstLineChars="0"/>
        <w:rPr>
          <w:rFonts w:ascii="宋体"/>
          <w:sz w:val="24"/>
          <w:szCs w:val="24"/>
        </w:rPr>
      </w:pPr>
      <w:r>
        <w:rPr>
          <w:rFonts w:ascii="宋体" w:hAnsi="宋体"/>
          <w:sz w:val="24"/>
          <w:szCs w:val="24"/>
        </w:rPr>
        <w:t xml:space="preserve">  </w:t>
      </w:r>
      <w:r>
        <w:rPr>
          <w:rFonts w:ascii="宋体" w:hAnsi="宋体" w:hint="eastAsia"/>
          <w:sz w:val="24"/>
          <w:szCs w:val="24"/>
        </w:rPr>
        <w:t>自互联网诞生以来，网络就深刻地影响着全球的经济与政治发展。</w:t>
      </w:r>
      <w:r>
        <w:rPr>
          <w:rFonts w:ascii="宋体" w:hAnsi="宋体"/>
          <w:sz w:val="24"/>
          <w:szCs w:val="24"/>
        </w:rPr>
        <w:t>2014</w:t>
      </w:r>
      <w:r>
        <w:rPr>
          <w:rFonts w:ascii="宋体" w:hAnsi="宋体" w:hint="eastAsia"/>
          <w:sz w:val="24"/>
          <w:szCs w:val="24"/>
        </w:rPr>
        <w:t>年微博、微信等自媒体在中国迅速崛起，用户量急剧上升。新媒体的发展，对于政府信息公开既是机遇，同时也是挑战。</w:t>
      </w:r>
    </w:p>
    <w:p w:rsidR="005A7195" w:rsidRDefault="00E7023C">
      <w:pPr>
        <w:ind w:firstLineChars="0" w:firstLine="420"/>
        <w:rPr>
          <w:rFonts w:ascii="宋体"/>
          <w:sz w:val="24"/>
          <w:szCs w:val="24"/>
        </w:rPr>
      </w:pPr>
      <w:r>
        <w:rPr>
          <w:rFonts w:ascii="宋体" w:hAnsi="宋体"/>
          <w:sz w:val="24"/>
          <w:szCs w:val="24"/>
        </w:rPr>
        <w:t xml:space="preserve"> 2014</w:t>
      </w:r>
      <w:r>
        <w:rPr>
          <w:rFonts w:ascii="宋体" w:hAnsi="宋体" w:hint="eastAsia"/>
          <w:sz w:val="24"/>
          <w:szCs w:val="24"/>
        </w:rPr>
        <w:t>年</w:t>
      </w:r>
      <w:r>
        <w:rPr>
          <w:rFonts w:ascii="宋体" w:hAnsi="宋体"/>
          <w:sz w:val="24"/>
          <w:szCs w:val="24"/>
        </w:rPr>
        <w:t>12</w:t>
      </w:r>
      <w:r>
        <w:rPr>
          <w:rFonts w:ascii="宋体" w:hAnsi="宋体" w:hint="eastAsia"/>
          <w:sz w:val="24"/>
          <w:szCs w:val="24"/>
        </w:rPr>
        <w:t>月下旬，中国政府网在首页挂出专题，总结</w:t>
      </w:r>
      <w:r>
        <w:rPr>
          <w:rFonts w:ascii="宋体" w:hAnsi="宋体"/>
          <w:sz w:val="24"/>
          <w:szCs w:val="24"/>
        </w:rPr>
        <w:t>2014</w:t>
      </w:r>
      <w:r>
        <w:rPr>
          <w:rFonts w:ascii="宋体" w:hAnsi="宋体" w:hint="eastAsia"/>
          <w:sz w:val="24"/>
          <w:szCs w:val="24"/>
        </w:rPr>
        <w:t>年政</w:t>
      </w:r>
      <w:r>
        <w:rPr>
          <w:rFonts w:ascii="宋体" w:hAnsi="宋体" w:hint="eastAsia"/>
          <w:sz w:val="24"/>
          <w:szCs w:val="24"/>
        </w:rPr>
        <w:t>府信息公开工作要点落实情况，还邀请网友对各省各部门信息公开的实绩点赞。不料，点赞的寥寥，吐槽的更多。吐槽的原因，大概可分为这几点：一者，公文体，官话，刻板；二者，缺乏实质内容，“寥寥数语，底气不足”；三者，表功，停留在“表扬与自我表扬”之上。</w:t>
      </w:r>
    </w:p>
    <w:p w:rsidR="005A7195" w:rsidRDefault="00E7023C">
      <w:pPr>
        <w:ind w:firstLineChars="195" w:firstLine="468"/>
        <w:rPr>
          <w:rFonts w:ascii="宋体"/>
          <w:sz w:val="24"/>
          <w:szCs w:val="24"/>
        </w:rPr>
      </w:pPr>
      <w:r>
        <w:rPr>
          <w:rFonts w:ascii="宋体" w:hAnsi="宋体" w:hint="eastAsia"/>
          <w:sz w:val="24"/>
          <w:szCs w:val="24"/>
        </w:rPr>
        <w:t>但网民总结出政府信息公开也有亮点，公允地点出教育部以“政府信息公开进行时”的方式制作了一个索引式页面，既有汇总情况，也有分类汇报，还有图文呈现，可供人自行选择。又如北京市的汇总做得非常规范整齐，页面上分成“市级落实情况”、“市政府部门落实情况”和“区县政府落实情况”，</w:t>
      </w:r>
      <w:r>
        <w:rPr>
          <w:rFonts w:ascii="宋体" w:hAnsi="宋体" w:hint="eastAsia"/>
          <w:sz w:val="24"/>
          <w:szCs w:val="24"/>
        </w:rPr>
        <w:t>而且各层级都生成图文、表格并茂的汇总报告，让人一目了然。交通运输部、农业部等少数几个部门的报告不仅内容详细，且附有多张截图，展示对应信息公开在自己官网的位置，等等。</w:t>
      </w:r>
    </w:p>
    <w:p w:rsidR="005A7195" w:rsidRDefault="00E7023C">
      <w:pPr>
        <w:ind w:firstLineChars="195" w:firstLine="468"/>
        <w:rPr>
          <w:rFonts w:ascii="宋体"/>
          <w:sz w:val="24"/>
          <w:szCs w:val="24"/>
        </w:rPr>
      </w:pPr>
      <w:r>
        <w:rPr>
          <w:rFonts w:ascii="宋体" w:hAnsi="宋体" w:hint="eastAsia"/>
          <w:sz w:val="24"/>
          <w:szCs w:val="24"/>
        </w:rPr>
        <w:t>《西安晚报》评论《“自我表扬”的信息公开难孚民意》，举出了若干政府信息公开不足的佐证：“按照《政府信息公开条例》的规定，大多数涉及公民、法人及其他组织切身利益的信息都应该公开，但在具体实施中，公众常常见到，一</w:t>
      </w:r>
      <w:r>
        <w:rPr>
          <w:rFonts w:ascii="宋体" w:hAnsi="宋体" w:hint="eastAsia"/>
          <w:sz w:val="24"/>
          <w:szCs w:val="24"/>
        </w:rPr>
        <w:lastRenderedPageBreak/>
        <w:t>些本应公开的信息，却被某些部门以各种理由拒绝，甚至多次给出</w:t>
      </w:r>
      <w:r>
        <w:rPr>
          <w:rFonts w:ascii="宋体" w:hAnsi="宋体"/>
          <w:sz w:val="24"/>
          <w:szCs w:val="24"/>
        </w:rPr>
        <w:t>"</w:t>
      </w:r>
      <w:r>
        <w:rPr>
          <w:rFonts w:ascii="宋体" w:hAnsi="宋体" w:hint="eastAsia"/>
          <w:sz w:val="24"/>
          <w:szCs w:val="24"/>
        </w:rPr>
        <w:t>涉及国家秘密</w:t>
      </w:r>
      <w:r>
        <w:rPr>
          <w:rFonts w:ascii="宋体" w:hAnsi="宋体"/>
          <w:sz w:val="24"/>
          <w:szCs w:val="24"/>
        </w:rPr>
        <w:t>""</w:t>
      </w:r>
      <w:r>
        <w:rPr>
          <w:rFonts w:ascii="宋体" w:hAnsi="宋体" w:hint="eastAsia"/>
          <w:sz w:val="24"/>
          <w:szCs w:val="24"/>
        </w:rPr>
        <w:t>不在公开范围</w:t>
      </w:r>
      <w:r>
        <w:rPr>
          <w:rFonts w:ascii="宋体" w:hAnsi="宋体"/>
          <w:sz w:val="24"/>
          <w:szCs w:val="24"/>
        </w:rPr>
        <w:t>"</w:t>
      </w:r>
      <w:r>
        <w:rPr>
          <w:rFonts w:ascii="宋体" w:hAnsi="宋体" w:hint="eastAsia"/>
          <w:sz w:val="24"/>
          <w:szCs w:val="24"/>
        </w:rPr>
        <w:t>的理由。除此之外，面对公民合法的公开信息请求，一</w:t>
      </w:r>
      <w:r>
        <w:rPr>
          <w:rFonts w:ascii="宋体" w:hAnsi="宋体" w:hint="eastAsia"/>
          <w:sz w:val="24"/>
          <w:szCs w:val="24"/>
        </w:rPr>
        <w:t>些部门往往选择沉默以对，比如去年有多位车主和律师，向政府申请公开公共停车位收费去向，但直到今天，也没有得到详细回应。又比如，在行政性事业收费中，有很多关乎民生却不规范的</w:t>
      </w:r>
      <w:r>
        <w:rPr>
          <w:rFonts w:ascii="宋体" w:hAnsi="宋体"/>
          <w:sz w:val="24"/>
          <w:szCs w:val="24"/>
        </w:rPr>
        <w:t>"</w:t>
      </w:r>
      <w:r>
        <w:rPr>
          <w:rFonts w:ascii="宋体" w:hAnsi="宋体" w:hint="eastAsia"/>
          <w:sz w:val="24"/>
          <w:szCs w:val="24"/>
        </w:rPr>
        <w:t>附加费</w:t>
      </w:r>
      <w:r>
        <w:rPr>
          <w:rFonts w:ascii="宋体" w:hAnsi="宋体"/>
          <w:sz w:val="24"/>
          <w:szCs w:val="24"/>
        </w:rPr>
        <w:t>"</w:t>
      </w:r>
      <w:r>
        <w:rPr>
          <w:rFonts w:ascii="宋体" w:hAnsi="宋体" w:hint="eastAsia"/>
          <w:sz w:val="24"/>
          <w:szCs w:val="24"/>
        </w:rPr>
        <w:t>，这些收费项目的钱款去向依然不明，财政部日前称，将开展针对这些</w:t>
      </w:r>
      <w:r>
        <w:rPr>
          <w:rFonts w:ascii="宋体" w:hAnsi="宋体"/>
          <w:sz w:val="24"/>
          <w:szCs w:val="24"/>
        </w:rPr>
        <w:t>"</w:t>
      </w:r>
      <w:r>
        <w:rPr>
          <w:rFonts w:ascii="宋体" w:hAnsi="宋体" w:hint="eastAsia"/>
          <w:sz w:val="24"/>
          <w:szCs w:val="24"/>
        </w:rPr>
        <w:t>附加费</w:t>
      </w:r>
      <w:r>
        <w:rPr>
          <w:rFonts w:ascii="宋体" w:hAnsi="宋体"/>
          <w:sz w:val="24"/>
          <w:szCs w:val="24"/>
        </w:rPr>
        <w:t>"</w:t>
      </w:r>
      <w:r>
        <w:rPr>
          <w:rFonts w:ascii="宋体" w:hAnsi="宋体" w:hint="eastAsia"/>
          <w:sz w:val="24"/>
          <w:szCs w:val="24"/>
        </w:rPr>
        <w:t>的专项清理工作，笔者以为，要彻底杜绝此类乱收费，还需将其列入政府信息公开的清单中，给公众一本明明白白的账。”</w:t>
      </w:r>
      <w:r>
        <w:rPr>
          <w:rFonts w:ascii="宋体" w:hAnsi="宋体"/>
          <w:sz w:val="24"/>
          <w:szCs w:val="24"/>
        </w:rPr>
        <w:t>(1</w:t>
      </w:r>
      <w:r>
        <w:rPr>
          <w:rFonts w:ascii="宋体" w:hAnsi="宋体" w:hint="eastAsia"/>
          <w:sz w:val="24"/>
          <w:szCs w:val="24"/>
        </w:rPr>
        <w:t>月</w:t>
      </w:r>
      <w:r>
        <w:rPr>
          <w:rFonts w:ascii="宋体" w:hAnsi="宋体"/>
          <w:sz w:val="24"/>
          <w:szCs w:val="24"/>
        </w:rPr>
        <w:t>14</w:t>
      </w:r>
      <w:r>
        <w:rPr>
          <w:rFonts w:ascii="宋体" w:hAnsi="宋体" w:hint="eastAsia"/>
          <w:sz w:val="24"/>
          <w:szCs w:val="24"/>
        </w:rPr>
        <w:t>日燕赵都市报</w:t>
      </w:r>
      <w:r>
        <w:rPr>
          <w:rFonts w:ascii="宋体" w:hAnsi="宋体"/>
          <w:sz w:val="24"/>
          <w:szCs w:val="24"/>
        </w:rPr>
        <w:t>)</w:t>
      </w:r>
    </w:p>
    <w:p w:rsidR="005A7195" w:rsidRDefault="00E7023C">
      <w:pPr>
        <w:ind w:firstLineChars="195" w:firstLine="468"/>
        <w:rPr>
          <w:rFonts w:ascii="宋体"/>
          <w:sz w:val="24"/>
          <w:szCs w:val="24"/>
        </w:rPr>
      </w:pPr>
      <w:r>
        <w:rPr>
          <w:rFonts w:ascii="宋体" w:hAnsi="宋体" w:hint="eastAsia"/>
          <w:sz w:val="24"/>
          <w:szCs w:val="24"/>
        </w:rPr>
        <w:t>盘点发现，去年共有６０个国务院部门集体网上“晒”权力清单，锁定政府权力，涉及行政审批事项共１２３５项，１／３以上省份已公布政府部</w:t>
      </w:r>
      <w:r>
        <w:rPr>
          <w:rFonts w:ascii="宋体" w:hAnsi="宋体" w:hint="eastAsia"/>
          <w:sz w:val="24"/>
          <w:szCs w:val="24"/>
        </w:rPr>
        <w:t>门权力清单。２０１４年，各部门、各级政府在环保、就业、教育、医疗、社保、保障性住房分配、征地拆迁等事关民生利益领域的信息公开力度明显加大，信息公开的“民生温度”更加凸显。如山西省国土厅在门户网站开设“案件公示”专栏，主动公开案件名称、被处罚者，以及主要违法事实和处罚种类、依据、结果等，并及时回应社会关切。一些涉及群众切身利益、社会关注度高的领域，如“三公经费”、食品药品安全、环境保护、安全生产、征地拆迁等信息公开，还需进一步加大推进力度等。</w:t>
      </w:r>
    </w:p>
    <w:p w:rsidR="005A7195" w:rsidRDefault="00E7023C">
      <w:pPr>
        <w:ind w:firstLineChars="195" w:firstLine="468"/>
        <w:rPr>
          <w:rFonts w:ascii="宋体"/>
          <w:sz w:val="24"/>
          <w:szCs w:val="24"/>
        </w:rPr>
      </w:pPr>
      <w:r>
        <w:rPr>
          <w:rFonts w:ascii="宋体" w:hAnsi="宋体" w:hint="eastAsia"/>
          <w:sz w:val="24"/>
          <w:szCs w:val="24"/>
        </w:rPr>
        <w:t>从以上例子可以看出，</w:t>
      </w:r>
      <w:r>
        <w:rPr>
          <w:rFonts w:ascii="宋体" w:hAnsi="宋体"/>
          <w:sz w:val="24"/>
          <w:szCs w:val="24"/>
        </w:rPr>
        <w:t>2014</w:t>
      </w:r>
      <w:r>
        <w:rPr>
          <w:rFonts w:ascii="宋体" w:hAnsi="宋体" w:hint="eastAsia"/>
          <w:sz w:val="24"/>
          <w:szCs w:val="24"/>
        </w:rPr>
        <w:t>年传统媒介与新媒体并存发展，大众传播变得相当复杂。新媒体的传者和受者以及传播渠道都呈现出个体化和多元化的态势，针对征地拆迁政府信息公开的讨论也更趋向底层赋权，传播效果充满着不确定性。</w:t>
      </w:r>
    </w:p>
    <w:p w:rsidR="005A7195" w:rsidRDefault="00E7023C">
      <w:pPr>
        <w:pStyle w:val="11"/>
        <w:numPr>
          <w:ilvl w:val="0"/>
          <w:numId w:val="1"/>
        </w:numPr>
        <w:ind w:firstLineChars="0"/>
        <w:rPr>
          <w:rFonts w:ascii="宋体"/>
          <w:b/>
          <w:sz w:val="24"/>
          <w:szCs w:val="24"/>
        </w:rPr>
      </w:pPr>
      <w:r>
        <w:rPr>
          <w:rFonts w:ascii="宋体" w:hAnsi="宋体" w:hint="eastAsia"/>
          <w:b/>
          <w:sz w:val="24"/>
          <w:szCs w:val="24"/>
        </w:rPr>
        <w:t>依法治国与信息公开</w:t>
      </w:r>
    </w:p>
    <w:p w:rsidR="005A7195" w:rsidRDefault="00E7023C">
      <w:pPr>
        <w:ind w:firstLineChars="0" w:firstLine="420"/>
        <w:rPr>
          <w:rFonts w:ascii="宋体"/>
          <w:sz w:val="24"/>
          <w:szCs w:val="24"/>
        </w:rPr>
      </w:pPr>
      <w:r>
        <w:rPr>
          <w:rFonts w:ascii="宋体" w:hAnsi="宋体" w:hint="eastAsia"/>
          <w:sz w:val="24"/>
          <w:szCs w:val="24"/>
        </w:rPr>
        <w:t>十八届四中全会点燃了全社会对建设法治社会的极大热情，更唤起了民众对公平公正的巨大期待。新华社报道的司法系统</w:t>
      </w:r>
      <w:r>
        <w:rPr>
          <w:rFonts w:ascii="宋体" w:hAnsi="宋体"/>
          <w:sz w:val="24"/>
          <w:szCs w:val="24"/>
        </w:rPr>
        <w:t>2014</w:t>
      </w:r>
      <w:r>
        <w:rPr>
          <w:rFonts w:ascii="宋体" w:hAnsi="宋体" w:hint="eastAsia"/>
          <w:sz w:val="24"/>
          <w:szCs w:val="24"/>
        </w:rPr>
        <w:t>年反腐成绩单，让人们感受到了惩治司法腐败、维护公平公正的艰巨性与紧迫性。上至国家领导人，下至草根网民，对于法治的理论探讨与具体实践，不仅推动了我国法治建设进程，更提高了社会公众的法制意识。</w:t>
      </w:r>
    </w:p>
    <w:p w:rsidR="005A7195" w:rsidRDefault="00E7023C">
      <w:pPr>
        <w:ind w:firstLineChars="195" w:firstLine="468"/>
        <w:rPr>
          <w:rFonts w:ascii="宋体"/>
          <w:sz w:val="24"/>
          <w:szCs w:val="24"/>
        </w:rPr>
      </w:pPr>
      <w:r>
        <w:rPr>
          <w:rFonts w:ascii="宋体" w:hAnsi="宋体" w:hint="eastAsia"/>
          <w:sz w:val="24"/>
          <w:szCs w:val="24"/>
        </w:rPr>
        <w:t>长期</w:t>
      </w:r>
      <w:r>
        <w:rPr>
          <w:rFonts w:ascii="宋体" w:hAnsi="宋体" w:hint="eastAsia"/>
          <w:sz w:val="24"/>
          <w:szCs w:val="24"/>
        </w:rPr>
        <w:t>以来，征地拆迁过程中暴力冲突事件不断发生，征地拆迁矛盾也逐渐增多。依法、依规正确处理征地拆迁过程中的各种利益关系，化解征地拆迁引发的人民内部矛盾，促进和谐社会的构建将是摆在政府面前的一大问题。</w:t>
      </w:r>
      <w:r>
        <w:rPr>
          <w:rFonts w:ascii="宋体" w:hAnsi="宋体"/>
          <w:sz w:val="24"/>
          <w:szCs w:val="24"/>
        </w:rPr>
        <w:t xml:space="preserve"> </w:t>
      </w:r>
      <w:r>
        <w:rPr>
          <w:rFonts w:ascii="宋体" w:hAnsi="宋体" w:hint="eastAsia"/>
          <w:sz w:val="24"/>
          <w:szCs w:val="24"/>
        </w:rPr>
        <w:t>强化征地拆迁信息公开，对于应对这一难题具有重要意义。</w:t>
      </w:r>
    </w:p>
    <w:p w:rsidR="005A7195" w:rsidRDefault="00E7023C">
      <w:pPr>
        <w:ind w:firstLineChars="195" w:firstLine="468"/>
        <w:rPr>
          <w:rFonts w:ascii="宋体"/>
          <w:sz w:val="24"/>
          <w:szCs w:val="24"/>
        </w:rPr>
      </w:pPr>
      <w:r>
        <w:rPr>
          <w:rFonts w:ascii="宋体" w:hAnsi="宋体" w:hint="eastAsia"/>
          <w:sz w:val="24"/>
          <w:szCs w:val="24"/>
        </w:rPr>
        <w:t>在法律上，政府信息公开是指国家行政机关和法律、法规以及规章授权和委托的组织，在行使国家行政管理职权的过程中，通过法定形式和程序，主动将政府信息向社会公众或依申请而向特定的个人或组织公开的制度。政府机关因此具有公开政府信息的义务，社会公众有获悉政府信息的权利。正是在</w:t>
      </w:r>
      <w:r>
        <w:rPr>
          <w:rFonts w:ascii="宋体" w:hAnsi="宋体" w:hint="eastAsia"/>
          <w:sz w:val="24"/>
          <w:szCs w:val="24"/>
        </w:rPr>
        <w:t>这样的法制意识指导下，政府及其部门正在转换自己在征地拆迁信息公开中的角色定位，并且公开工作越来越规范化，因此</w:t>
      </w:r>
      <w:r>
        <w:rPr>
          <w:rFonts w:ascii="宋体" w:hAnsi="宋体"/>
          <w:sz w:val="24"/>
          <w:szCs w:val="24"/>
        </w:rPr>
        <w:t>2014</w:t>
      </w:r>
      <w:r>
        <w:rPr>
          <w:rFonts w:ascii="宋体" w:hAnsi="宋体" w:hint="eastAsia"/>
          <w:sz w:val="24"/>
          <w:szCs w:val="24"/>
        </w:rPr>
        <w:t>年政府征地拆迁信息公开取得了一定成绩。</w:t>
      </w:r>
    </w:p>
    <w:p w:rsidR="005A7195" w:rsidRDefault="00E7023C">
      <w:pPr>
        <w:ind w:firstLineChars="195" w:firstLine="470"/>
        <w:rPr>
          <w:rFonts w:ascii="宋体"/>
          <w:b/>
          <w:sz w:val="24"/>
          <w:szCs w:val="24"/>
        </w:rPr>
      </w:pPr>
      <w:r>
        <w:rPr>
          <w:rFonts w:ascii="宋体" w:hAnsi="宋体" w:hint="eastAsia"/>
          <w:b/>
          <w:sz w:val="24"/>
          <w:szCs w:val="24"/>
        </w:rPr>
        <w:t>（三）成就与问题同在</w:t>
      </w:r>
    </w:p>
    <w:p w:rsidR="005A7195" w:rsidRDefault="00E7023C">
      <w:pPr>
        <w:ind w:firstLineChars="195" w:firstLine="468"/>
        <w:rPr>
          <w:rFonts w:ascii="宋体"/>
          <w:sz w:val="24"/>
          <w:szCs w:val="24"/>
        </w:rPr>
      </w:pPr>
      <w:r>
        <w:rPr>
          <w:rFonts w:ascii="宋体" w:hAnsi="宋体" w:hint="eastAsia"/>
          <w:sz w:val="24"/>
          <w:szCs w:val="24"/>
        </w:rPr>
        <w:t>随着一系列政策法规的出台，</w:t>
      </w:r>
      <w:r>
        <w:rPr>
          <w:rFonts w:ascii="宋体" w:hAnsi="宋体"/>
          <w:sz w:val="24"/>
          <w:szCs w:val="24"/>
        </w:rPr>
        <w:t>2014</w:t>
      </w:r>
      <w:r>
        <w:rPr>
          <w:rFonts w:ascii="宋体" w:hAnsi="宋体" w:hint="eastAsia"/>
          <w:sz w:val="24"/>
          <w:szCs w:val="24"/>
        </w:rPr>
        <w:t>年政府信息公开工作稳中有进，成就与问题同在。</w:t>
      </w:r>
    </w:p>
    <w:p w:rsidR="005A7195" w:rsidRDefault="00E7023C">
      <w:pPr>
        <w:ind w:firstLineChars="195" w:firstLine="468"/>
        <w:rPr>
          <w:rFonts w:ascii="宋体"/>
          <w:sz w:val="24"/>
          <w:szCs w:val="24"/>
        </w:rPr>
      </w:pPr>
      <w:r>
        <w:rPr>
          <w:rFonts w:ascii="宋体" w:hAnsi="宋体" w:hint="eastAsia"/>
          <w:sz w:val="24"/>
          <w:szCs w:val="24"/>
        </w:rPr>
        <w:t>首先，从国务院部门的情况看，大多数部门都针对信息公开要点制定了实施细则，细化公开的任务与要求。如国家民委制定印发了《国家民委</w:t>
      </w:r>
      <w:r>
        <w:rPr>
          <w:rFonts w:ascii="宋体" w:hAnsi="宋体"/>
          <w:sz w:val="24"/>
          <w:szCs w:val="24"/>
        </w:rPr>
        <w:t>2014</w:t>
      </w:r>
      <w:r>
        <w:rPr>
          <w:rFonts w:ascii="宋体" w:hAnsi="宋体" w:hint="eastAsia"/>
          <w:sz w:val="24"/>
          <w:szCs w:val="24"/>
        </w:rPr>
        <w:t>年政务公开工作要点及任务分工》（民办发〔</w:t>
      </w:r>
      <w:r>
        <w:rPr>
          <w:rFonts w:ascii="宋体" w:hAnsi="宋体"/>
          <w:sz w:val="24"/>
          <w:szCs w:val="24"/>
        </w:rPr>
        <w:t>2014</w:t>
      </w:r>
      <w:r>
        <w:rPr>
          <w:rFonts w:ascii="宋体" w:hAnsi="宋体" w:hint="eastAsia"/>
          <w:sz w:val="24"/>
          <w:szCs w:val="24"/>
        </w:rPr>
        <w:t>〕</w:t>
      </w:r>
      <w:r>
        <w:rPr>
          <w:rFonts w:ascii="宋体" w:hAnsi="宋体"/>
          <w:sz w:val="24"/>
          <w:szCs w:val="24"/>
        </w:rPr>
        <w:t>36</w:t>
      </w:r>
      <w:r>
        <w:rPr>
          <w:rFonts w:ascii="宋体" w:hAnsi="宋体" w:hint="eastAsia"/>
          <w:sz w:val="24"/>
          <w:szCs w:val="24"/>
        </w:rPr>
        <w:t>号），民政部制定《</w:t>
      </w:r>
      <w:r>
        <w:rPr>
          <w:rFonts w:ascii="宋体" w:hAnsi="宋体"/>
          <w:sz w:val="24"/>
          <w:szCs w:val="24"/>
        </w:rPr>
        <w:t>2014</w:t>
      </w:r>
      <w:r>
        <w:rPr>
          <w:rFonts w:ascii="宋体" w:hAnsi="宋体" w:hint="eastAsia"/>
          <w:sz w:val="24"/>
          <w:szCs w:val="24"/>
        </w:rPr>
        <w:t>年信息公开工作要点分工意见》（民办发〔</w:t>
      </w:r>
      <w:r>
        <w:rPr>
          <w:rFonts w:ascii="宋体" w:hAnsi="宋体"/>
          <w:sz w:val="24"/>
          <w:szCs w:val="24"/>
        </w:rPr>
        <w:t>2014</w:t>
      </w:r>
      <w:r>
        <w:rPr>
          <w:rFonts w:ascii="宋体" w:hAnsi="宋体" w:hint="eastAsia"/>
          <w:sz w:val="24"/>
          <w:szCs w:val="24"/>
        </w:rPr>
        <w:t>〕</w:t>
      </w:r>
      <w:r>
        <w:rPr>
          <w:rFonts w:ascii="宋体" w:hAnsi="宋体"/>
          <w:sz w:val="24"/>
          <w:szCs w:val="24"/>
        </w:rPr>
        <w:t>19</w:t>
      </w:r>
      <w:r>
        <w:rPr>
          <w:rFonts w:ascii="宋体" w:hAnsi="宋体" w:hint="eastAsia"/>
          <w:sz w:val="24"/>
          <w:szCs w:val="24"/>
        </w:rPr>
        <w:t>号），农业部制定了《农业部</w:t>
      </w:r>
      <w:r>
        <w:rPr>
          <w:rFonts w:ascii="宋体" w:hAnsi="宋体"/>
          <w:sz w:val="24"/>
          <w:szCs w:val="24"/>
        </w:rPr>
        <w:t>2014</w:t>
      </w:r>
      <w:r>
        <w:rPr>
          <w:rFonts w:ascii="宋体" w:hAnsi="宋体" w:hint="eastAsia"/>
          <w:sz w:val="24"/>
          <w:szCs w:val="24"/>
        </w:rPr>
        <w:lastRenderedPageBreak/>
        <w:t>年信息公开工作要点》、国家知识产权局制定了《国家知识产权局</w:t>
      </w:r>
      <w:r>
        <w:rPr>
          <w:rFonts w:ascii="宋体" w:hAnsi="宋体"/>
          <w:sz w:val="24"/>
          <w:szCs w:val="24"/>
        </w:rPr>
        <w:t>2014</w:t>
      </w:r>
      <w:r>
        <w:rPr>
          <w:rFonts w:ascii="宋体" w:hAnsi="宋体" w:hint="eastAsia"/>
          <w:sz w:val="24"/>
          <w:szCs w:val="24"/>
        </w:rPr>
        <w:t>年政府信息公开工作要点》，国家安监总局制定了《国家安全监管总局</w:t>
      </w:r>
      <w:r>
        <w:rPr>
          <w:rFonts w:ascii="宋体" w:hAnsi="宋体"/>
          <w:sz w:val="24"/>
          <w:szCs w:val="24"/>
        </w:rPr>
        <w:t>2014</w:t>
      </w:r>
      <w:r>
        <w:rPr>
          <w:rFonts w:ascii="宋体" w:hAnsi="宋体" w:hint="eastAsia"/>
          <w:sz w:val="24"/>
          <w:szCs w:val="24"/>
        </w:rPr>
        <w:t>年安全生产信息公开工作责任分工方案》（厅函〔</w:t>
      </w:r>
      <w:r>
        <w:rPr>
          <w:rFonts w:ascii="宋体" w:hAnsi="宋体"/>
          <w:sz w:val="24"/>
          <w:szCs w:val="24"/>
        </w:rPr>
        <w:t>2014</w:t>
      </w:r>
      <w:r>
        <w:rPr>
          <w:rFonts w:ascii="宋体" w:hAnsi="宋体" w:hint="eastAsia"/>
          <w:sz w:val="24"/>
          <w:szCs w:val="24"/>
        </w:rPr>
        <w:t>〕</w:t>
      </w:r>
      <w:r>
        <w:rPr>
          <w:rFonts w:ascii="宋体" w:hAnsi="宋体"/>
          <w:sz w:val="24"/>
          <w:szCs w:val="24"/>
        </w:rPr>
        <w:t>109</w:t>
      </w:r>
      <w:r>
        <w:rPr>
          <w:rFonts w:ascii="宋体" w:hAnsi="宋体" w:hint="eastAsia"/>
          <w:sz w:val="24"/>
          <w:szCs w:val="24"/>
        </w:rPr>
        <w:t>号）。其次，从地方政府的情况看，北京市、广东省、山东省、陕西省、贵州省、湖北省等都出台了本省落实信息公开要点的责任分工。不仅如此，不少部门还从制度上进一步细化政府信息公开要求，如教育部建立了信息公开事项清单制度，研究制定了《高等学校信息公开事项清单》；海关总署发布了修</w:t>
      </w:r>
      <w:r>
        <w:rPr>
          <w:rFonts w:ascii="宋体" w:hAnsi="宋体" w:hint="eastAsia"/>
          <w:sz w:val="24"/>
          <w:szCs w:val="24"/>
        </w:rPr>
        <w:t>订后的《海关政府信息公开办法》；安徽省出台了《安徽省政府信息公开办法》，辽宁省出台《关于进一步完善信息发布和政策解读机制的实施意见》，建立了“网络回应人”制度。</w:t>
      </w:r>
    </w:p>
    <w:p w:rsidR="005A7195" w:rsidRDefault="00E7023C">
      <w:pPr>
        <w:ind w:firstLineChars="195" w:firstLine="468"/>
        <w:rPr>
          <w:rFonts w:ascii="宋体"/>
          <w:sz w:val="24"/>
          <w:szCs w:val="24"/>
        </w:rPr>
      </w:pPr>
      <w:r>
        <w:rPr>
          <w:rFonts w:ascii="宋体" w:hAnsi="宋体" w:hint="eastAsia"/>
          <w:sz w:val="24"/>
          <w:szCs w:val="24"/>
        </w:rPr>
        <w:t>某些部门和地方政府在“成绩单”里也认识到了自己信息公开工作中的问题：国家林业局提出自己“信息发布时效性差”，审计署表示“信息可读性和通俗化有待加强”，福建政府反思“牵头责任单位落实不够到位”，辽宁政府认为自己“回应社会关切工作还需加强”。虽然谈问题仍只是泛泛而谈，但也难能可贵，值得肯定。</w:t>
      </w:r>
    </w:p>
    <w:p w:rsidR="005A7195" w:rsidRDefault="00E7023C">
      <w:pPr>
        <w:ind w:firstLineChars="195" w:firstLine="468"/>
        <w:rPr>
          <w:rFonts w:ascii="宋体"/>
          <w:sz w:val="24"/>
          <w:szCs w:val="24"/>
        </w:rPr>
      </w:pPr>
      <w:r>
        <w:rPr>
          <w:rFonts w:ascii="宋体" w:hAnsi="宋体" w:hint="eastAsia"/>
          <w:sz w:val="24"/>
          <w:szCs w:val="24"/>
        </w:rPr>
        <w:t>“成绩单”写得怎么样在一定程度上是工作的折射。截至</w:t>
      </w:r>
      <w:r>
        <w:rPr>
          <w:rFonts w:ascii="宋体" w:hAnsi="宋体"/>
          <w:sz w:val="24"/>
          <w:szCs w:val="24"/>
        </w:rPr>
        <w:t>1</w:t>
      </w:r>
      <w:r>
        <w:rPr>
          <w:rFonts w:ascii="宋体" w:hAnsi="宋体" w:hint="eastAsia"/>
          <w:sz w:val="24"/>
          <w:szCs w:val="24"/>
        </w:rPr>
        <w:t>月</w:t>
      </w:r>
      <w:r>
        <w:rPr>
          <w:rFonts w:ascii="宋体" w:hAnsi="宋体"/>
          <w:sz w:val="24"/>
          <w:szCs w:val="24"/>
        </w:rPr>
        <w:t>12</w:t>
      </w:r>
      <w:r>
        <w:rPr>
          <w:rFonts w:ascii="宋体" w:hAnsi="宋体" w:hint="eastAsia"/>
          <w:sz w:val="24"/>
          <w:szCs w:val="24"/>
        </w:rPr>
        <w:t>日</w:t>
      </w:r>
      <w:r>
        <w:rPr>
          <w:rFonts w:ascii="宋体" w:hAnsi="宋体" w:hint="eastAsia"/>
          <w:sz w:val="24"/>
          <w:szCs w:val="24"/>
        </w:rPr>
        <w:t>时，国务院部门中仍有参事室、国管局、中央编办等部门尚未将信息公开报告上网，各省份则已全部公开。社科院法学所的报告以图文并茂、例证详实、数据详细、分类信息公开等指标，对各部门、各省的“成绩单”加以评价。按其标准，甘肃、安徽、北京、浙江的公开均属于质量相对上乘者，部门中的佼佼者则是教育部、卫计委、交通运输部、农业部、证监会等。报告认为，除数据和分项外，“成绩单”里的自我总结也很能反映问题：凡是总结写得详细、生动的，往往都是过去一年在信息公开方面做了很多工作、有大量内容可以说；凡是写得简单、呆板的，往往都是过去没</w:t>
      </w:r>
      <w:r>
        <w:rPr>
          <w:rFonts w:ascii="宋体" w:hAnsi="宋体" w:hint="eastAsia"/>
          <w:sz w:val="24"/>
          <w:szCs w:val="24"/>
        </w:rPr>
        <w:t>做太多事情，或者亮点难寻。</w:t>
      </w:r>
    </w:p>
    <w:p w:rsidR="005A7195" w:rsidRDefault="005A7195">
      <w:pPr>
        <w:ind w:firstLineChars="195" w:firstLine="468"/>
        <w:rPr>
          <w:rFonts w:ascii="宋体"/>
          <w:sz w:val="24"/>
          <w:szCs w:val="24"/>
        </w:rPr>
      </w:pPr>
    </w:p>
    <w:p w:rsidR="005A7195" w:rsidRDefault="00E7023C">
      <w:pPr>
        <w:ind w:firstLineChars="195" w:firstLine="548"/>
        <w:rPr>
          <w:rFonts w:ascii="宋体"/>
          <w:b/>
          <w:sz w:val="28"/>
          <w:szCs w:val="24"/>
        </w:rPr>
      </w:pPr>
      <w:r>
        <w:rPr>
          <w:rFonts w:ascii="宋体" w:hAnsi="宋体" w:hint="eastAsia"/>
          <w:b/>
          <w:sz w:val="28"/>
          <w:szCs w:val="24"/>
        </w:rPr>
        <w:t>三、</w:t>
      </w:r>
      <w:r>
        <w:rPr>
          <w:rFonts w:ascii="宋体" w:hAnsi="宋体"/>
          <w:b/>
          <w:sz w:val="28"/>
          <w:szCs w:val="24"/>
        </w:rPr>
        <w:t>2014</w:t>
      </w:r>
      <w:r>
        <w:rPr>
          <w:rFonts w:ascii="宋体" w:hAnsi="宋体" w:hint="eastAsia"/>
          <w:b/>
          <w:sz w:val="28"/>
          <w:szCs w:val="24"/>
        </w:rPr>
        <w:t>年征地拆迁信息公开存在的面临的挑战</w:t>
      </w:r>
    </w:p>
    <w:p w:rsidR="005A7195" w:rsidRDefault="00E7023C">
      <w:pPr>
        <w:ind w:firstLineChars="0" w:firstLine="420"/>
        <w:rPr>
          <w:rFonts w:ascii="宋体"/>
          <w:sz w:val="24"/>
          <w:szCs w:val="24"/>
        </w:rPr>
      </w:pPr>
      <w:r>
        <w:rPr>
          <w:rFonts w:ascii="宋体" w:hAnsi="宋体" w:hint="eastAsia"/>
          <w:sz w:val="24"/>
          <w:szCs w:val="24"/>
        </w:rPr>
        <w:t>回顾</w:t>
      </w:r>
      <w:r>
        <w:rPr>
          <w:rFonts w:ascii="宋体" w:hAnsi="宋体"/>
          <w:sz w:val="24"/>
          <w:szCs w:val="24"/>
        </w:rPr>
        <w:t>2014</w:t>
      </w:r>
      <w:r>
        <w:rPr>
          <w:rFonts w:ascii="宋体" w:hAnsi="宋体" w:hint="eastAsia"/>
          <w:sz w:val="24"/>
          <w:szCs w:val="24"/>
        </w:rPr>
        <w:t>年，目前地方政府对于拆迁方面的政府信息公开申请不回复、公开程度低、信息不集中、信息查找获取难等问题依旧十分突出。</w:t>
      </w:r>
    </w:p>
    <w:p w:rsidR="005A7195" w:rsidRDefault="00E7023C">
      <w:pPr>
        <w:pStyle w:val="11"/>
        <w:numPr>
          <w:ilvl w:val="0"/>
          <w:numId w:val="2"/>
        </w:numPr>
        <w:ind w:firstLineChars="0"/>
        <w:rPr>
          <w:rFonts w:ascii="宋体"/>
          <w:b/>
          <w:sz w:val="24"/>
          <w:szCs w:val="24"/>
        </w:rPr>
      </w:pPr>
      <w:r>
        <w:rPr>
          <w:rFonts w:ascii="宋体" w:hAnsi="宋体" w:hint="eastAsia"/>
          <w:b/>
          <w:sz w:val="24"/>
          <w:szCs w:val="24"/>
        </w:rPr>
        <w:t>信息公开申请不回复</w:t>
      </w:r>
    </w:p>
    <w:p w:rsidR="005A7195" w:rsidRDefault="00E7023C">
      <w:pPr>
        <w:ind w:firstLineChars="0" w:firstLine="420"/>
        <w:rPr>
          <w:rFonts w:ascii="宋体"/>
          <w:sz w:val="24"/>
          <w:szCs w:val="24"/>
        </w:rPr>
      </w:pPr>
      <w:r>
        <w:rPr>
          <w:rFonts w:ascii="宋体" w:hAnsi="宋体"/>
          <w:sz w:val="24"/>
          <w:szCs w:val="24"/>
        </w:rPr>
        <w:t>2014</w:t>
      </w:r>
      <w:r>
        <w:rPr>
          <w:rFonts w:ascii="宋体" w:hAnsi="宋体" w:hint="eastAsia"/>
          <w:sz w:val="24"/>
          <w:szCs w:val="24"/>
        </w:rPr>
        <w:t>年，中央对信息公开的政策思路和管理方式的有了重大转变，</w:t>
      </w:r>
      <w:r>
        <w:rPr>
          <w:rFonts w:ascii="宋体" w:hint="eastAsia"/>
          <w:sz w:val="24"/>
          <w:szCs w:val="24"/>
        </w:rPr>
        <w:t>“</w:t>
      </w:r>
      <w:r>
        <w:rPr>
          <w:rFonts w:ascii="宋体" w:hAnsi="宋体" w:hint="eastAsia"/>
          <w:sz w:val="24"/>
          <w:szCs w:val="24"/>
        </w:rPr>
        <w:t>公开</w:t>
      </w:r>
      <w:r>
        <w:rPr>
          <w:rFonts w:ascii="宋体" w:hint="eastAsia"/>
          <w:sz w:val="24"/>
          <w:szCs w:val="24"/>
        </w:rPr>
        <w:t>”</w:t>
      </w:r>
      <w:r>
        <w:rPr>
          <w:rFonts w:ascii="宋体" w:hAnsi="宋体" w:hint="eastAsia"/>
          <w:sz w:val="24"/>
          <w:szCs w:val="24"/>
        </w:rPr>
        <w:t>已成为主旋律。年初，国务院办公厅印发《</w:t>
      </w:r>
      <w:r>
        <w:rPr>
          <w:rFonts w:ascii="宋体" w:hAnsi="宋体"/>
          <w:sz w:val="24"/>
          <w:szCs w:val="24"/>
        </w:rPr>
        <w:t>2014</w:t>
      </w:r>
      <w:r>
        <w:rPr>
          <w:rFonts w:ascii="宋体" w:hAnsi="宋体" w:hint="eastAsia"/>
          <w:sz w:val="24"/>
          <w:szCs w:val="24"/>
        </w:rPr>
        <w:t>年政府信息公开工作要点》，对今年政府信息公开工作作出部署，引发社会广泛关注。其实近年来，</w:t>
      </w:r>
      <w:r>
        <w:rPr>
          <w:rFonts w:ascii="宋体" w:hint="eastAsia"/>
          <w:sz w:val="24"/>
          <w:szCs w:val="24"/>
        </w:rPr>
        <w:t>“</w:t>
      </w:r>
      <w:r>
        <w:rPr>
          <w:rFonts w:ascii="宋体" w:hAnsi="宋体" w:hint="eastAsia"/>
          <w:sz w:val="24"/>
          <w:szCs w:val="24"/>
        </w:rPr>
        <w:t>信息公开是政府的义务，申请公开是公民的权利</w:t>
      </w:r>
      <w:r>
        <w:rPr>
          <w:rFonts w:ascii="宋体" w:hint="eastAsia"/>
          <w:sz w:val="24"/>
          <w:szCs w:val="24"/>
        </w:rPr>
        <w:t>”</w:t>
      </w:r>
      <w:r>
        <w:rPr>
          <w:rFonts w:ascii="宋体" w:hAnsi="宋体" w:hint="eastAsia"/>
          <w:sz w:val="24"/>
          <w:szCs w:val="24"/>
        </w:rPr>
        <w:t>逐渐成为社会共识。从我所王优银律师的切</w:t>
      </w:r>
      <w:r>
        <w:rPr>
          <w:rFonts w:ascii="宋体" w:hAnsi="宋体" w:hint="eastAsia"/>
          <w:sz w:val="24"/>
          <w:szCs w:val="24"/>
        </w:rPr>
        <w:t>身感受可知，在</w:t>
      </w:r>
      <w:r>
        <w:rPr>
          <w:rFonts w:ascii="宋体" w:hAnsi="宋体"/>
          <w:sz w:val="24"/>
          <w:szCs w:val="24"/>
        </w:rPr>
        <w:t>2008</w:t>
      </w:r>
      <w:r>
        <w:rPr>
          <w:rFonts w:ascii="宋体" w:hAnsi="宋体" w:hint="eastAsia"/>
          <w:sz w:val="24"/>
          <w:szCs w:val="24"/>
        </w:rPr>
        <w:t>年以前办案时，调取资料非常麻烦，需要找多位领导签字，而很多时候领导都在开会出差中。条例实施后就没有这些麻烦了。毋庸置疑，条例的实施，积极推动了政府信息公开的制度化、规范化和常态化，为公民行使知情权、监督权提供了良好的法律保障。</w:t>
      </w:r>
    </w:p>
    <w:p w:rsidR="005A7195" w:rsidRDefault="00E7023C">
      <w:pPr>
        <w:ind w:firstLineChars="0" w:firstLine="420"/>
        <w:rPr>
          <w:rFonts w:ascii="宋体" w:hAnsi="宋体"/>
          <w:sz w:val="24"/>
          <w:szCs w:val="24"/>
        </w:rPr>
      </w:pPr>
      <w:r>
        <w:rPr>
          <w:rFonts w:ascii="宋体" w:hAnsi="宋体" w:hint="eastAsia"/>
          <w:sz w:val="24"/>
          <w:szCs w:val="24"/>
        </w:rPr>
        <w:t>但是，仍然有伤脑筋的时候。某些政府部门处理申请公开信息时，存在</w:t>
      </w:r>
      <w:r>
        <w:rPr>
          <w:rFonts w:ascii="宋体" w:hint="eastAsia"/>
          <w:sz w:val="24"/>
          <w:szCs w:val="24"/>
        </w:rPr>
        <w:t>“</w:t>
      </w:r>
      <w:r>
        <w:rPr>
          <w:rFonts w:ascii="宋体" w:hAnsi="宋体" w:hint="eastAsia"/>
          <w:sz w:val="24"/>
          <w:szCs w:val="24"/>
        </w:rPr>
        <w:t>不回复</w:t>
      </w:r>
      <w:r>
        <w:rPr>
          <w:rFonts w:ascii="宋体" w:hint="eastAsia"/>
          <w:sz w:val="24"/>
          <w:szCs w:val="24"/>
        </w:rPr>
        <w:t>”“</w:t>
      </w:r>
      <w:r>
        <w:rPr>
          <w:rFonts w:ascii="宋体" w:hAnsi="宋体" w:hint="eastAsia"/>
          <w:sz w:val="24"/>
          <w:szCs w:val="24"/>
        </w:rPr>
        <w:t>答非所问</w:t>
      </w:r>
      <w:r>
        <w:rPr>
          <w:rFonts w:ascii="宋体" w:hint="eastAsia"/>
          <w:sz w:val="24"/>
          <w:szCs w:val="24"/>
        </w:rPr>
        <w:t>”</w:t>
      </w:r>
      <w:r>
        <w:rPr>
          <w:rFonts w:ascii="宋体" w:hAnsi="宋体" w:hint="eastAsia"/>
          <w:sz w:val="24"/>
          <w:szCs w:val="24"/>
        </w:rPr>
        <w:t>的现象，或滥以国家秘密、商业秘密等理由</w:t>
      </w:r>
      <w:r>
        <w:rPr>
          <w:rFonts w:ascii="宋体" w:hint="eastAsia"/>
          <w:sz w:val="24"/>
          <w:szCs w:val="24"/>
        </w:rPr>
        <w:t>“</w:t>
      </w:r>
      <w:r>
        <w:rPr>
          <w:rFonts w:ascii="宋体" w:hAnsi="宋体" w:hint="eastAsia"/>
          <w:sz w:val="24"/>
          <w:szCs w:val="24"/>
        </w:rPr>
        <w:t>拒绝公开</w:t>
      </w:r>
      <w:r>
        <w:rPr>
          <w:rFonts w:ascii="宋体" w:hint="eastAsia"/>
          <w:sz w:val="24"/>
          <w:szCs w:val="24"/>
        </w:rPr>
        <w:t>”</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依申请公开的效果差，还与申请程序的繁琐有密切关联。大量的拆迁信息是需要靠被拆迁人或律师提出的信息公开申请而获取。这种依申请公开的拆迁信息透明度不容乐观。拆迁地段的规划信息是拆迁公告中最含混不清的信息，且最善变。大多数拆迁公告对规划信息披露的内容是“因城市规划变动、为公共利益需要”等，有的以“因经济发展、城市发展”直接搪塞过去。对于规划的科学性、拆迁的可</w:t>
      </w:r>
      <w:r>
        <w:rPr>
          <w:rFonts w:ascii="宋体" w:hAnsi="宋体" w:hint="eastAsia"/>
          <w:sz w:val="24"/>
          <w:szCs w:val="24"/>
        </w:rPr>
        <w:lastRenderedPageBreak/>
        <w:t>行性等则闭口不谈。公民在申请规划信息公开时也很难，主管部门往往以种种借口拒绝。而且规划信息中“为公共利益需要”的承诺，实际当中往往是进行商业开发。</w:t>
      </w:r>
    </w:p>
    <w:p w:rsidR="005A7195" w:rsidRDefault="00E7023C">
      <w:pPr>
        <w:ind w:firstLineChars="0" w:firstLine="420"/>
        <w:jc w:val="left"/>
        <w:rPr>
          <w:rFonts w:ascii="宋体" w:hAnsi="宋体"/>
          <w:sz w:val="24"/>
          <w:szCs w:val="24"/>
        </w:rPr>
      </w:pPr>
      <w:r>
        <w:rPr>
          <w:rFonts w:ascii="宋体" w:hAnsi="宋体" w:hint="eastAsia"/>
          <w:sz w:val="24"/>
          <w:szCs w:val="24"/>
        </w:rPr>
        <w:t>这些问题如</w:t>
      </w:r>
      <w:r>
        <w:rPr>
          <w:rFonts w:ascii="宋体" w:hAnsi="宋体" w:hint="eastAsia"/>
          <w:sz w:val="24"/>
          <w:szCs w:val="24"/>
        </w:rPr>
        <w:t>果不解决，很容易使征地拆迁案件的老百姓陷入机械申请信息公开、行政复议、行政诉讼的怪圈从而致使拆迁问题不能妥善、迅速的得到解决。我们律师事务所</w:t>
      </w:r>
      <w:r>
        <w:rPr>
          <w:rFonts w:ascii="宋体" w:hAnsi="宋体" w:hint="eastAsia"/>
          <w:sz w:val="24"/>
          <w:szCs w:val="24"/>
        </w:rPr>
        <w:t>2014</w:t>
      </w:r>
      <w:r>
        <w:rPr>
          <w:rFonts w:ascii="宋体" w:hAnsi="宋体" w:hint="eastAsia"/>
          <w:sz w:val="24"/>
          <w:szCs w:val="24"/>
        </w:rPr>
        <w:t>年在征地拆迁业务中，共计申请征地拆迁政府信息公开</w:t>
      </w:r>
      <w:r>
        <w:rPr>
          <w:rFonts w:ascii="宋体" w:hAnsi="宋体" w:hint="eastAsia"/>
          <w:sz w:val="24"/>
          <w:szCs w:val="24"/>
        </w:rPr>
        <w:t>17153</w:t>
      </w:r>
      <w:r>
        <w:rPr>
          <w:rFonts w:ascii="宋体" w:hAnsi="宋体" w:hint="eastAsia"/>
          <w:sz w:val="24"/>
          <w:szCs w:val="24"/>
        </w:rPr>
        <w:t>个，其中以涉及商业秘密、个人隐私为由拒不公开的共计</w:t>
      </w:r>
      <w:r>
        <w:rPr>
          <w:rFonts w:ascii="宋体" w:hAnsi="宋体" w:hint="eastAsia"/>
          <w:sz w:val="24"/>
          <w:szCs w:val="24"/>
        </w:rPr>
        <w:t>2315</w:t>
      </w:r>
      <w:r>
        <w:rPr>
          <w:rFonts w:ascii="宋体" w:hAnsi="宋体" w:hint="eastAsia"/>
          <w:sz w:val="24"/>
          <w:szCs w:val="24"/>
        </w:rPr>
        <w:t>起，占总数约</w:t>
      </w:r>
      <w:r>
        <w:rPr>
          <w:rFonts w:ascii="宋体" w:hAnsi="宋体" w:hint="eastAsia"/>
          <w:sz w:val="24"/>
          <w:szCs w:val="24"/>
        </w:rPr>
        <w:t>13.5%</w:t>
      </w:r>
      <w:r>
        <w:rPr>
          <w:rFonts w:ascii="宋体" w:hAnsi="宋体" w:hint="eastAsia"/>
          <w:sz w:val="24"/>
          <w:szCs w:val="24"/>
        </w:rPr>
        <w:t>，其中进入复议、诉讼后仍拒不公开的共计</w:t>
      </w:r>
      <w:r>
        <w:rPr>
          <w:rFonts w:ascii="宋体" w:hAnsi="宋体" w:hint="eastAsia"/>
          <w:sz w:val="24"/>
          <w:szCs w:val="24"/>
        </w:rPr>
        <w:t>745</w:t>
      </w:r>
      <w:r>
        <w:rPr>
          <w:rFonts w:ascii="宋体" w:hAnsi="宋体" w:hint="eastAsia"/>
          <w:sz w:val="24"/>
          <w:szCs w:val="24"/>
        </w:rPr>
        <w:t>起占总数约</w:t>
      </w:r>
      <w:r>
        <w:rPr>
          <w:rFonts w:ascii="宋体" w:hAnsi="宋体" w:hint="eastAsia"/>
          <w:sz w:val="24"/>
          <w:szCs w:val="24"/>
        </w:rPr>
        <w:t>4.34%</w:t>
      </w:r>
      <w:r>
        <w:rPr>
          <w:rFonts w:ascii="宋体" w:hAnsi="宋体" w:hint="eastAsia"/>
          <w:sz w:val="24"/>
          <w:szCs w:val="24"/>
        </w:rPr>
        <w:t>；</w:t>
      </w:r>
      <w:r>
        <w:rPr>
          <w:rFonts w:ascii="宋体" w:hAnsi="宋体" w:hint="eastAsia"/>
          <w:sz w:val="24"/>
          <w:szCs w:val="24"/>
        </w:rPr>
        <w:t>以“谁制作，谁公开”为由相互推脱的共计</w:t>
      </w:r>
      <w:r>
        <w:rPr>
          <w:rFonts w:ascii="宋体" w:hAnsi="宋体" w:hint="eastAsia"/>
          <w:sz w:val="24"/>
          <w:szCs w:val="24"/>
        </w:rPr>
        <w:t>2693</w:t>
      </w:r>
      <w:r>
        <w:rPr>
          <w:rFonts w:ascii="宋体" w:hAnsi="宋体" w:hint="eastAsia"/>
          <w:sz w:val="24"/>
          <w:szCs w:val="24"/>
        </w:rPr>
        <w:t>起，占总数约</w:t>
      </w:r>
      <w:r>
        <w:rPr>
          <w:rFonts w:ascii="宋体" w:hAnsi="宋体" w:hint="eastAsia"/>
          <w:sz w:val="24"/>
          <w:szCs w:val="24"/>
        </w:rPr>
        <w:t>15.7%</w:t>
      </w:r>
      <w:r>
        <w:rPr>
          <w:rFonts w:ascii="宋体" w:hAnsi="宋体" w:hint="eastAsia"/>
          <w:sz w:val="24"/>
          <w:szCs w:val="24"/>
        </w:rPr>
        <w:t>，其中进入复议、诉讼后仍相互推脱的共计</w:t>
      </w:r>
      <w:r>
        <w:rPr>
          <w:rFonts w:ascii="宋体" w:hAnsi="宋体" w:hint="eastAsia"/>
          <w:sz w:val="24"/>
          <w:szCs w:val="24"/>
        </w:rPr>
        <w:t>1932</w:t>
      </w:r>
      <w:r>
        <w:rPr>
          <w:rFonts w:ascii="宋体" w:hAnsi="宋体" w:hint="eastAsia"/>
          <w:sz w:val="24"/>
          <w:szCs w:val="24"/>
        </w:rPr>
        <w:t>起占总数约</w:t>
      </w:r>
      <w:r>
        <w:rPr>
          <w:rFonts w:ascii="宋体" w:hAnsi="宋体" w:hint="eastAsia"/>
          <w:sz w:val="24"/>
          <w:szCs w:val="24"/>
        </w:rPr>
        <w:t>11.3%</w:t>
      </w:r>
      <w:r>
        <w:rPr>
          <w:rFonts w:ascii="宋体" w:hAnsi="宋体" w:hint="eastAsia"/>
          <w:sz w:val="24"/>
          <w:szCs w:val="24"/>
        </w:rPr>
        <w:t>；回复简单的共计</w:t>
      </w:r>
      <w:r>
        <w:rPr>
          <w:rFonts w:ascii="宋体" w:hAnsi="宋体" w:hint="eastAsia"/>
          <w:sz w:val="24"/>
          <w:szCs w:val="24"/>
        </w:rPr>
        <w:t>3129</w:t>
      </w:r>
      <w:r>
        <w:rPr>
          <w:rFonts w:ascii="宋体" w:hAnsi="宋体" w:hint="eastAsia"/>
          <w:sz w:val="24"/>
          <w:szCs w:val="24"/>
        </w:rPr>
        <w:t>起</w:t>
      </w:r>
      <w:r>
        <w:rPr>
          <w:rFonts w:ascii="宋体" w:hAnsi="宋体" w:hint="eastAsia"/>
          <w:sz w:val="24"/>
          <w:szCs w:val="24"/>
        </w:rPr>
        <w:t>，占总数约</w:t>
      </w:r>
      <w:r>
        <w:rPr>
          <w:rFonts w:ascii="宋体" w:hAnsi="宋体" w:hint="eastAsia"/>
          <w:sz w:val="24"/>
          <w:szCs w:val="24"/>
        </w:rPr>
        <w:t>18.2%</w:t>
      </w:r>
      <w:r>
        <w:rPr>
          <w:rFonts w:ascii="宋体" w:hAnsi="宋体" w:hint="eastAsia"/>
          <w:sz w:val="24"/>
          <w:szCs w:val="24"/>
        </w:rPr>
        <w:t>，其中进入复议、诉讼后仍马虎了事的共计</w:t>
      </w:r>
      <w:r>
        <w:rPr>
          <w:rFonts w:ascii="宋体" w:hAnsi="宋体" w:hint="eastAsia"/>
          <w:sz w:val="24"/>
          <w:szCs w:val="24"/>
        </w:rPr>
        <w:t>932</w:t>
      </w:r>
      <w:r>
        <w:rPr>
          <w:rFonts w:ascii="宋体" w:hAnsi="宋体" w:hint="eastAsia"/>
          <w:sz w:val="24"/>
          <w:szCs w:val="24"/>
        </w:rPr>
        <w:t>起占总数约</w:t>
      </w:r>
      <w:r>
        <w:rPr>
          <w:rFonts w:ascii="宋体" w:hAnsi="宋体" w:hint="eastAsia"/>
          <w:sz w:val="24"/>
          <w:szCs w:val="24"/>
        </w:rPr>
        <w:t>5.4%</w:t>
      </w:r>
      <w:r>
        <w:rPr>
          <w:rFonts w:ascii="宋体" w:hAnsi="宋体" w:hint="eastAsia"/>
          <w:sz w:val="24"/>
          <w:szCs w:val="24"/>
        </w:rPr>
        <w:t>。具体数据比例见表二。</w:t>
      </w:r>
    </w:p>
    <w:p w:rsidR="005A7195" w:rsidRDefault="00324151">
      <w:pPr>
        <w:ind w:firstLineChars="0" w:firstLine="420"/>
        <w:jc w:val="left"/>
      </w:pPr>
      <w:r>
        <w:rPr>
          <w:noProof/>
        </w:rPr>
        <w:drawing>
          <wp:inline distT="0" distB="0" distL="0" distR="0">
            <wp:extent cx="3306445" cy="2317750"/>
            <wp:effectExtent l="0" t="0" r="8255" b="635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06445" cy="2317750"/>
                    </a:xfrm>
                    <a:prstGeom prst="rect">
                      <a:avLst/>
                    </a:prstGeom>
                    <a:noFill/>
                    <a:ln>
                      <a:noFill/>
                    </a:ln>
                  </pic:spPr>
                </pic:pic>
              </a:graphicData>
            </a:graphic>
          </wp:inline>
        </w:drawing>
      </w:r>
    </w:p>
    <w:p w:rsidR="005A7195" w:rsidRDefault="00E7023C">
      <w:pPr>
        <w:ind w:firstLineChars="0" w:firstLine="420"/>
        <w:jc w:val="left"/>
      </w:pPr>
      <w:r>
        <w:rPr>
          <w:rFonts w:hint="eastAsia"/>
        </w:rPr>
        <w:t>表二</w:t>
      </w:r>
      <w:r>
        <w:rPr>
          <w:rFonts w:hint="eastAsia"/>
        </w:rPr>
        <w:t xml:space="preserve"> 2014</w:t>
      </w:r>
      <w:r>
        <w:rPr>
          <w:rFonts w:hint="eastAsia"/>
        </w:rPr>
        <w:t>年圣运律所代理征地拆迁政府信息公开案件回复情况</w:t>
      </w:r>
    </w:p>
    <w:p w:rsidR="005A7195" w:rsidRDefault="00E7023C">
      <w:pPr>
        <w:pStyle w:val="11"/>
        <w:numPr>
          <w:ilvl w:val="0"/>
          <w:numId w:val="2"/>
        </w:numPr>
        <w:ind w:firstLineChars="0"/>
        <w:rPr>
          <w:rFonts w:ascii="宋体"/>
          <w:b/>
          <w:sz w:val="24"/>
          <w:szCs w:val="24"/>
        </w:rPr>
      </w:pPr>
      <w:r>
        <w:rPr>
          <w:rFonts w:ascii="宋体" w:hAnsi="宋体" w:hint="eastAsia"/>
          <w:b/>
          <w:sz w:val="24"/>
          <w:szCs w:val="24"/>
        </w:rPr>
        <w:t>信息公开程度低</w:t>
      </w:r>
    </w:p>
    <w:p w:rsidR="005A7195" w:rsidRDefault="00E7023C">
      <w:pPr>
        <w:ind w:firstLineChars="0" w:firstLine="420"/>
        <w:rPr>
          <w:rFonts w:ascii="宋体"/>
          <w:sz w:val="24"/>
          <w:szCs w:val="24"/>
        </w:rPr>
      </w:pPr>
      <w:r>
        <w:rPr>
          <w:rFonts w:ascii="宋体" w:hAnsi="宋体" w:hint="eastAsia"/>
          <w:sz w:val="24"/>
          <w:szCs w:val="24"/>
        </w:rPr>
        <w:t>根据中国社会科学院对全国</w:t>
      </w:r>
      <w:r>
        <w:rPr>
          <w:rFonts w:ascii="宋体" w:hAnsi="宋体"/>
          <w:sz w:val="24"/>
          <w:szCs w:val="24"/>
        </w:rPr>
        <w:t>43</w:t>
      </w:r>
      <w:r>
        <w:rPr>
          <w:rFonts w:ascii="宋体" w:hAnsi="宋体" w:hint="eastAsia"/>
          <w:sz w:val="24"/>
          <w:szCs w:val="24"/>
        </w:rPr>
        <w:t>个地方政府</w:t>
      </w:r>
      <w:r>
        <w:rPr>
          <w:rFonts w:ascii="宋体" w:hAnsi="宋体"/>
          <w:sz w:val="24"/>
          <w:szCs w:val="24"/>
        </w:rPr>
        <w:t>2010</w:t>
      </w:r>
      <w:r>
        <w:rPr>
          <w:rFonts w:ascii="宋体" w:hAnsi="宋体" w:hint="eastAsia"/>
          <w:sz w:val="24"/>
          <w:szCs w:val="24"/>
        </w:rPr>
        <w:t>年度的拆迁信息透明度调查显示</w:t>
      </w:r>
      <w:r>
        <w:rPr>
          <w:rFonts w:ascii="宋体" w:hAnsi="宋体"/>
          <w:sz w:val="24"/>
          <w:szCs w:val="24"/>
        </w:rPr>
        <w:t>:</w:t>
      </w:r>
      <w:r>
        <w:rPr>
          <w:rFonts w:ascii="宋体" w:hAnsi="宋体" w:hint="eastAsia"/>
          <w:sz w:val="24"/>
          <w:szCs w:val="24"/>
        </w:rPr>
        <w:t>在地方政府网站中配有拆迁信息栏目的有</w:t>
      </w:r>
      <w:r>
        <w:rPr>
          <w:rFonts w:ascii="宋体" w:hAnsi="宋体"/>
          <w:sz w:val="24"/>
          <w:szCs w:val="24"/>
        </w:rPr>
        <w:t>32</w:t>
      </w:r>
      <w:r>
        <w:rPr>
          <w:rFonts w:ascii="宋体" w:hAnsi="宋体" w:hint="eastAsia"/>
          <w:sz w:val="24"/>
          <w:szCs w:val="24"/>
        </w:rPr>
        <w:t>家</w:t>
      </w:r>
      <w:r>
        <w:rPr>
          <w:rFonts w:ascii="宋体"/>
          <w:sz w:val="24"/>
          <w:szCs w:val="24"/>
        </w:rPr>
        <w:t>,</w:t>
      </w:r>
      <w:r>
        <w:rPr>
          <w:rFonts w:ascii="宋体" w:hAnsi="宋体" w:hint="eastAsia"/>
          <w:sz w:val="24"/>
          <w:szCs w:val="24"/>
        </w:rPr>
        <w:t>占</w:t>
      </w:r>
      <w:r>
        <w:rPr>
          <w:rFonts w:ascii="宋体" w:hAnsi="宋体"/>
          <w:sz w:val="24"/>
          <w:szCs w:val="24"/>
        </w:rPr>
        <w:t>74.4%</w:t>
      </w:r>
      <w:r>
        <w:rPr>
          <w:rFonts w:ascii="宋体" w:hAnsi="宋体" w:hint="eastAsia"/>
          <w:sz w:val="24"/>
          <w:szCs w:val="24"/>
        </w:rPr>
        <w:t>。在拆迁主管部门网站中</w:t>
      </w:r>
      <w:r>
        <w:rPr>
          <w:rFonts w:ascii="宋体"/>
          <w:sz w:val="24"/>
          <w:szCs w:val="24"/>
        </w:rPr>
        <w:t>,</w:t>
      </w:r>
      <w:r>
        <w:rPr>
          <w:rFonts w:ascii="宋体" w:hAnsi="宋体" w:hint="eastAsia"/>
          <w:sz w:val="24"/>
          <w:szCs w:val="24"/>
        </w:rPr>
        <w:t>提供拆迁信息栏目且均可有效打开的有</w:t>
      </w:r>
      <w:r>
        <w:rPr>
          <w:rFonts w:ascii="宋体" w:hAnsi="宋体"/>
          <w:sz w:val="24"/>
          <w:szCs w:val="24"/>
        </w:rPr>
        <w:t>24</w:t>
      </w:r>
      <w:r>
        <w:rPr>
          <w:rFonts w:ascii="宋体" w:hAnsi="宋体" w:hint="eastAsia"/>
          <w:sz w:val="24"/>
          <w:szCs w:val="24"/>
        </w:rPr>
        <w:t>家</w:t>
      </w:r>
      <w:r>
        <w:rPr>
          <w:rFonts w:ascii="宋体"/>
          <w:sz w:val="24"/>
          <w:szCs w:val="24"/>
        </w:rPr>
        <w:t>,</w:t>
      </w:r>
      <w:r>
        <w:rPr>
          <w:rFonts w:ascii="宋体" w:hAnsi="宋体" w:hint="eastAsia"/>
          <w:sz w:val="24"/>
          <w:szCs w:val="24"/>
        </w:rPr>
        <w:t>占</w:t>
      </w:r>
      <w:r>
        <w:rPr>
          <w:rFonts w:ascii="宋体" w:hAnsi="宋体"/>
          <w:sz w:val="24"/>
          <w:szCs w:val="24"/>
        </w:rPr>
        <w:t>55%,</w:t>
      </w:r>
      <w:r>
        <w:rPr>
          <w:rFonts w:ascii="宋体" w:hAnsi="宋体" w:hint="eastAsia"/>
          <w:sz w:val="24"/>
          <w:szCs w:val="24"/>
        </w:rPr>
        <w:t>同时提供拆迁公告信息和法规信息的有</w:t>
      </w:r>
      <w:r>
        <w:rPr>
          <w:rFonts w:ascii="宋体" w:hAnsi="宋体"/>
          <w:sz w:val="24"/>
          <w:szCs w:val="24"/>
        </w:rPr>
        <w:t>15</w:t>
      </w:r>
      <w:r>
        <w:rPr>
          <w:rFonts w:ascii="宋体" w:hAnsi="宋体" w:hint="eastAsia"/>
          <w:sz w:val="24"/>
          <w:szCs w:val="24"/>
        </w:rPr>
        <w:t>家</w:t>
      </w:r>
      <w:r>
        <w:rPr>
          <w:rFonts w:ascii="宋体"/>
          <w:sz w:val="24"/>
          <w:szCs w:val="24"/>
        </w:rPr>
        <w:t>,</w:t>
      </w:r>
      <w:r>
        <w:rPr>
          <w:rFonts w:ascii="宋体" w:hAnsi="宋体" w:hint="eastAsia"/>
          <w:sz w:val="24"/>
          <w:szCs w:val="24"/>
        </w:rPr>
        <w:t>仅提供某一类信息的为</w:t>
      </w:r>
      <w:r>
        <w:rPr>
          <w:rFonts w:ascii="宋体" w:hAnsi="宋体"/>
          <w:sz w:val="24"/>
          <w:szCs w:val="24"/>
        </w:rPr>
        <w:t>7</w:t>
      </w:r>
      <w:r>
        <w:rPr>
          <w:rFonts w:ascii="宋体" w:hAnsi="宋体" w:hint="eastAsia"/>
          <w:sz w:val="24"/>
          <w:szCs w:val="24"/>
        </w:rPr>
        <w:t>家。拆迁纠纷基本都是由拆迁信息不透明引发的。不少地方</w:t>
      </w:r>
      <w:r>
        <w:rPr>
          <w:rFonts w:ascii="宋体" w:hAnsi="宋体" w:hint="eastAsia"/>
          <w:sz w:val="24"/>
          <w:szCs w:val="24"/>
        </w:rPr>
        <w:t>政府拆迁主管部门虽然也公开了拆迁公告</w:t>
      </w:r>
      <w:r>
        <w:rPr>
          <w:rFonts w:ascii="宋体"/>
          <w:sz w:val="24"/>
          <w:szCs w:val="24"/>
        </w:rPr>
        <w:t>,</w:t>
      </w:r>
      <w:r>
        <w:rPr>
          <w:rFonts w:ascii="宋体" w:hAnsi="宋体" w:hint="eastAsia"/>
          <w:sz w:val="24"/>
          <w:szCs w:val="24"/>
        </w:rPr>
        <w:t>但其中有用的信息很少</w:t>
      </w:r>
      <w:r>
        <w:rPr>
          <w:rFonts w:ascii="宋体"/>
          <w:sz w:val="24"/>
          <w:szCs w:val="24"/>
        </w:rPr>
        <w:t>,</w:t>
      </w:r>
      <w:r>
        <w:rPr>
          <w:rFonts w:ascii="宋体" w:hAnsi="宋体" w:hint="eastAsia"/>
          <w:sz w:val="24"/>
          <w:szCs w:val="24"/>
        </w:rPr>
        <w:t>比如规划信息、征地手续、补偿条款等。</w:t>
      </w:r>
    </w:p>
    <w:p w:rsidR="005A7195" w:rsidRDefault="00E7023C">
      <w:pPr>
        <w:ind w:firstLineChars="0" w:firstLine="420"/>
        <w:rPr>
          <w:rFonts w:ascii="宋体"/>
          <w:sz w:val="24"/>
          <w:szCs w:val="24"/>
        </w:rPr>
      </w:pPr>
      <w:r>
        <w:rPr>
          <w:rFonts w:ascii="宋体" w:hAnsi="宋体" w:hint="eastAsia"/>
          <w:sz w:val="24"/>
          <w:szCs w:val="24"/>
        </w:rPr>
        <w:t>根据社科院的调查显示</w:t>
      </w:r>
      <w:r>
        <w:rPr>
          <w:rFonts w:ascii="宋体"/>
          <w:sz w:val="24"/>
          <w:szCs w:val="24"/>
        </w:rPr>
        <w:t>,</w:t>
      </w:r>
      <w:r>
        <w:rPr>
          <w:rFonts w:ascii="宋体" w:hAnsi="宋体" w:hint="eastAsia"/>
          <w:sz w:val="24"/>
          <w:szCs w:val="24"/>
        </w:rPr>
        <w:t>经检索</w:t>
      </w:r>
      <w:r>
        <w:rPr>
          <w:rFonts w:ascii="宋体" w:hAnsi="宋体"/>
          <w:sz w:val="24"/>
          <w:szCs w:val="24"/>
        </w:rPr>
        <w:t>43</w:t>
      </w:r>
      <w:r>
        <w:rPr>
          <w:rFonts w:ascii="宋体" w:hAnsi="宋体" w:hint="eastAsia"/>
          <w:sz w:val="24"/>
          <w:szCs w:val="24"/>
        </w:rPr>
        <w:t>个地方政府官方网站、拆迁主管部门网站或者拆迁信息网站</w:t>
      </w:r>
      <w:r>
        <w:rPr>
          <w:rFonts w:ascii="宋体"/>
          <w:sz w:val="24"/>
          <w:szCs w:val="24"/>
        </w:rPr>
        <w:t>,</w:t>
      </w:r>
      <w:r>
        <w:rPr>
          <w:rFonts w:ascii="宋体" w:hAnsi="宋体" w:hint="eastAsia"/>
          <w:sz w:val="24"/>
          <w:szCs w:val="24"/>
        </w:rPr>
        <w:t>提供有效拆迁公告信息的有</w:t>
      </w:r>
      <w:r>
        <w:rPr>
          <w:rFonts w:ascii="宋体" w:hAnsi="宋体"/>
          <w:sz w:val="24"/>
          <w:szCs w:val="24"/>
        </w:rPr>
        <w:t>26</w:t>
      </w:r>
      <w:r>
        <w:rPr>
          <w:rFonts w:ascii="宋体" w:hAnsi="宋体" w:hint="eastAsia"/>
          <w:sz w:val="24"/>
          <w:szCs w:val="24"/>
        </w:rPr>
        <w:t>家</w:t>
      </w:r>
      <w:r>
        <w:rPr>
          <w:rFonts w:ascii="宋体"/>
          <w:sz w:val="24"/>
          <w:szCs w:val="24"/>
        </w:rPr>
        <w:t>,</w:t>
      </w:r>
      <w:r>
        <w:rPr>
          <w:rFonts w:ascii="宋体" w:hAnsi="宋体" w:hint="eastAsia"/>
          <w:sz w:val="24"/>
          <w:szCs w:val="24"/>
        </w:rPr>
        <w:t>但仅有</w:t>
      </w:r>
      <w:r>
        <w:rPr>
          <w:rFonts w:ascii="宋体" w:hAnsi="宋体"/>
          <w:sz w:val="24"/>
          <w:szCs w:val="24"/>
        </w:rPr>
        <w:t>7</w:t>
      </w:r>
      <w:r>
        <w:rPr>
          <w:rFonts w:ascii="宋体" w:hAnsi="宋体" w:hint="eastAsia"/>
          <w:sz w:val="24"/>
          <w:szCs w:val="24"/>
        </w:rPr>
        <w:t>个地方政府能够在拆迁公告信息的标题中注明拆迁地段等核心信息</w:t>
      </w:r>
      <w:r>
        <w:rPr>
          <w:rFonts w:ascii="宋体"/>
          <w:sz w:val="24"/>
          <w:szCs w:val="24"/>
        </w:rPr>
        <w:t>,</w:t>
      </w:r>
      <w:r>
        <w:rPr>
          <w:rFonts w:ascii="宋体" w:hAnsi="宋体" w:hint="eastAsia"/>
          <w:sz w:val="24"/>
          <w:szCs w:val="24"/>
        </w:rPr>
        <w:t>其余的则只在标题中提供拆迁公告文号。拆迁公告中能够提供拆迁地段示意图的仅有</w:t>
      </w:r>
      <w:r>
        <w:rPr>
          <w:rFonts w:ascii="宋体" w:hAnsi="宋体"/>
          <w:sz w:val="24"/>
          <w:szCs w:val="24"/>
        </w:rPr>
        <w:t>3</w:t>
      </w:r>
      <w:r>
        <w:rPr>
          <w:rFonts w:ascii="宋体" w:hAnsi="宋体" w:hint="eastAsia"/>
          <w:sz w:val="24"/>
          <w:szCs w:val="24"/>
        </w:rPr>
        <w:t>家。</w:t>
      </w:r>
    </w:p>
    <w:p w:rsidR="005A7195" w:rsidRDefault="00E7023C">
      <w:pPr>
        <w:ind w:firstLineChars="0" w:firstLine="420"/>
        <w:rPr>
          <w:rFonts w:ascii="宋体"/>
          <w:sz w:val="24"/>
          <w:szCs w:val="24"/>
        </w:rPr>
      </w:pPr>
      <w:r>
        <w:rPr>
          <w:rFonts w:ascii="宋体" w:hAnsi="宋体" w:hint="eastAsia"/>
          <w:sz w:val="24"/>
          <w:szCs w:val="24"/>
        </w:rPr>
        <w:t>信息公开程度低折射出一些政府部门对信息公开的态度形式大于实质。</w:t>
      </w:r>
    </w:p>
    <w:p w:rsidR="005A7195" w:rsidRDefault="00E7023C">
      <w:pPr>
        <w:pStyle w:val="11"/>
        <w:numPr>
          <w:ilvl w:val="0"/>
          <w:numId w:val="2"/>
        </w:numPr>
        <w:ind w:firstLineChars="0"/>
        <w:rPr>
          <w:rFonts w:ascii="宋体"/>
          <w:b/>
          <w:sz w:val="24"/>
          <w:szCs w:val="24"/>
        </w:rPr>
      </w:pPr>
      <w:r>
        <w:rPr>
          <w:rFonts w:ascii="宋体" w:hAnsi="宋体" w:hint="eastAsia"/>
          <w:b/>
          <w:sz w:val="24"/>
          <w:szCs w:val="24"/>
        </w:rPr>
        <w:t>信息不集中</w:t>
      </w:r>
    </w:p>
    <w:p w:rsidR="005A7195" w:rsidRDefault="00E7023C">
      <w:pPr>
        <w:ind w:firstLineChars="0" w:firstLine="420"/>
        <w:rPr>
          <w:rFonts w:ascii="宋体"/>
          <w:sz w:val="24"/>
          <w:szCs w:val="24"/>
        </w:rPr>
      </w:pPr>
      <w:r>
        <w:rPr>
          <w:rFonts w:ascii="宋体" w:hAnsi="宋体" w:hint="eastAsia"/>
          <w:sz w:val="24"/>
          <w:szCs w:val="24"/>
        </w:rPr>
        <w:t>征地拆迁信息公开涉及到征地批复、范围、补偿、安置等相关信息，在在征地拆迁的各个环节，相关的信息都应该公布，包括征地审批结果信息、征地告知信息、征地确认信息、征地听证信息等内容。</w:t>
      </w:r>
    </w:p>
    <w:p w:rsidR="005A7195" w:rsidRDefault="00E7023C">
      <w:pPr>
        <w:ind w:firstLineChars="0" w:firstLine="420"/>
        <w:rPr>
          <w:rFonts w:ascii="宋体"/>
          <w:sz w:val="24"/>
          <w:szCs w:val="24"/>
        </w:rPr>
      </w:pPr>
      <w:r>
        <w:rPr>
          <w:rFonts w:ascii="宋体" w:hAnsi="宋体" w:hint="eastAsia"/>
          <w:sz w:val="24"/>
          <w:szCs w:val="24"/>
        </w:rPr>
        <w:t>但是一些地方政府利用信息不对称的优势，进行“暗箱操作”，欺上瞒下，“化整为零”报批，超低标准补偿，进行违法违规征地拆迁。信息的不透明、不公开，是当今征地拆迁矛盾的一个重要死结。</w:t>
      </w:r>
    </w:p>
    <w:p w:rsidR="005A7195" w:rsidRDefault="00E7023C">
      <w:pPr>
        <w:ind w:firstLineChars="0" w:firstLine="420"/>
        <w:rPr>
          <w:rFonts w:ascii="宋体"/>
          <w:sz w:val="24"/>
          <w:szCs w:val="24"/>
        </w:rPr>
      </w:pPr>
      <w:r>
        <w:rPr>
          <w:rFonts w:ascii="宋体" w:hAnsi="宋体" w:hint="eastAsia"/>
          <w:sz w:val="24"/>
          <w:szCs w:val="24"/>
        </w:rPr>
        <w:lastRenderedPageBreak/>
        <w:t>一些地方政府规定了征地拆迁信息必须在网上公布，例如山东省政府办公厅印发《当前全省政府信息公开工作要点》，规定征地拆迁等信息必须在网上公开。实践中地方政府信息</w:t>
      </w:r>
      <w:r>
        <w:rPr>
          <w:rFonts w:ascii="宋体" w:hAnsi="宋体" w:hint="eastAsia"/>
          <w:sz w:val="24"/>
          <w:szCs w:val="24"/>
        </w:rPr>
        <w:t>公布却不集中，往往分散在政府各自部门的网站及其繁杂的栏目下面。</w:t>
      </w:r>
    </w:p>
    <w:p w:rsidR="005A7195" w:rsidRDefault="00E7023C">
      <w:pPr>
        <w:tabs>
          <w:tab w:val="center" w:pos="4363"/>
        </w:tabs>
        <w:ind w:firstLineChars="0" w:firstLine="420"/>
        <w:rPr>
          <w:rFonts w:ascii="宋体"/>
          <w:b/>
          <w:sz w:val="24"/>
          <w:szCs w:val="24"/>
        </w:rPr>
      </w:pPr>
      <w:r>
        <w:rPr>
          <w:rFonts w:ascii="宋体" w:hAnsi="宋体" w:hint="eastAsia"/>
          <w:b/>
          <w:sz w:val="24"/>
          <w:szCs w:val="24"/>
        </w:rPr>
        <w:t>（四）信息查找获取难</w:t>
      </w:r>
      <w:r>
        <w:rPr>
          <w:rFonts w:ascii="宋体"/>
          <w:b/>
          <w:sz w:val="24"/>
          <w:szCs w:val="24"/>
        </w:rPr>
        <w:tab/>
      </w:r>
    </w:p>
    <w:p w:rsidR="005A7195" w:rsidRDefault="00E7023C">
      <w:pPr>
        <w:ind w:firstLineChars="175" w:firstLine="420"/>
        <w:rPr>
          <w:rFonts w:ascii="宋体"/>
          <w:sz w:val="24"/>
          <w:szCs w:val="24"/>
        </w:rPr>
      </w:pPr>
      <w:r>
        <w:rPr>
          <w:rFonts w:ascii="宋体" w:hAnsi="宋体" w:hint="eastAsia"/>
          <w:sz w:val="24"/>
          <w:szCs w:val="24"/>
        </w:rPr>
        <w:t>拆迁难，难就难在拆迁当事双方在获取信息方面的巨大落差。拆迁信息透明度直接考验着国有土地上房屋征收与补偿条例</w:t>
      </w:r>
      <w:r>
        <w:rPr>
          <w:rFonts w:ascii="宋体" w:hAnsi="宋体"/>
          <w:sz w:val="24"/>
          <w:szCs w:val="24"/>
        </w:rPr>
        <w:t>(</w:t>
      </w:r>
      <w:r>
        <w:rPr>
          <w:rFonts w:ascii="宋体" w:hAnsi="宋体" w:hint="eastAsia"/>
          <w:sz w:val="24"/>
          <w:szCs w:val="24"/>
        </w:rPr>
        <w:t>以下简称新拆迁条例</w:t>
      </w:r>
      <w:r>
        <w:rPr>
          <w:rFonts w:ascii="宋体" w:hAnsi="宋体"/>
          <w:sz w:val="24"/>
          <w:szCs w:val="24"/>
        </w:rPr>
        <w:t>)</w:t>
      </w:r>
      <w:r>
        <w:rPr>
          <w:rFonts w:ascii="宋体" w:hAnsi="宋体" w:hint="eastAsia"/>
          <w:sz w:val="24"/>
          <w:szCs w:val="24"/>
        </w:rPr>
        <w:t>的法律权威。拆迁纠纷基本都是由拆迁信息不透明引发的。不少地方政府拆迁主管部门虽然也公开了拆迁公告，但其中有用的信息很少，比如规划信息、征地手续、补偿条款等。根据成绩单显示，截止</w:t>
      </w:r>
      <w:r>
        <w:rPr>
          <w:rFonts w:ascii="宋体" w:hAnsi="宋体"/>
          <w:sz w:val="24"/>
          <w:szCs w:val="24"/>
        </w:rPr>
        <w:t>1</w:t>
      </w:r>
      <w:r>
        <w:rPr>
          <w:rFonts w:ascii="宋体" w:hAnsi="宋体" w:hint="eastAsia"/>
          <w:sz w:val="24"/>
          <w:szCs w:val="24"/>
        </w:rPr>
        <w:t>月</w:t>
      </w:r>
      <w:r>
        <w:rPr>
          <w:rFonts w:ascii="宋体" w:hAnsi="宋体"/>
          <w:sz w:val="24"/>
          <w:szCs w:val="24"/>
        </w:rPr>
        <w:t>12</w:t>
      </w:r>
      <w:r>
        <w:rPr>
          <w:rFonts w:ascii="宋体" w:hAnsi="宋体" w:hint="eastAsia"/>
          <w:sz w:val="24"/>
          <w:szCs w:val="24"/>
        </w:rPr>
        <w:t>日，经检索</w:t>
      </w:r>
      <w:r>
        <w:rPr>
          <w:rFonts w:ascii="宋体" w:hAnsi="宋体"/>
          <w:sz w:val="24"/>
          <w:szCs w:val="24"/>
        </w:rPr>
        <w:t>50</w:t>
      </w:r>
      <w:r>
        <w:rPr>
          <w:rFonts w:ascii="宋体" w:hAnsi="宋体" w:hint="eastAsia"/>
          <w:sz w:val="24"/>
          <w:szCs w:val="24"/>
        </w:rPr>
        <w:t>个地方政府官方网站、拆迁主管部门网站或者拆迁信息网站，提供有效拆迁公告信息的有</w:t>
      </w:r>
      <w:r>
        <w:rPr>
          <w:rFonts w:ascii="宋体" w:hAnsi="宋体"/>
          <w:sz w:val="24"/>
          <w:szCs w:val="24"/>
        </w:rPr>
        <w:t>32</w:t>
      </w:r>
      <w:r>
        <w:rPr>
          <w:rFonts w:ascii="宋体" w:hAnsi="宋体" w:hint="eastAsia"/>
          <w:sz w:val="24"/>
          <w:szCs w:val="24"/>
        </w:rPr>
        <w:t>家，但仅有</w:t>
      </w:r>
      <w:r>
        <w:rPr>
          <w:rFonts w:ascii="宋体" w:hAnsi="宋体"/>
          <w:sz w:val="24"/>
          <w:szCs w:val="24"/>
        </w:rPr>
        <w:t>15</w:t>
      </w:r>
      <w:r>
        <w:rPr>
          <w:rFonts w:ascii="宋体" w:hAnsi="宋体" w:hint="eastAsia"/>
          <w:sz w:val="24"/>
          <w:szCs w:val="24"/>
        </w:rPr>
        <w:t>个</w:t>
      </w:r>
      <w:r>
        <w:rPr>
          <w:rFonts w:ascii="宋体" w:hAnsi="宋体" w:hint="eastAsia"/>
          <w:sz w:val="24"/>
          <w:szCs w:val="24"/>
        </w:rPr>
        <w:t>地方政府能够在拆迁公告信息的标题中注明拆迁地段等核心信息，其余的则只在标题中提供拆迁公告文号。拆迁公告中能够提供拆迁地段示意图的仅有</w:t>
      </w:r>
      <w:r>
        <w:rPr>
          <w:rFonts w:ascii="宋体" w:hAnsi="宋体"/>
          <w:sz w:val="24"/>
          <w:szCs w:val="24"/>
        </w:rPr>
        <w:t>7</w:t>
      </w:r>
      <w:r>
        <w:rPr>
          <w:rFonts w:ascii="宋体" w:hAnsi="宋体" w:hint="eastAsia"/>
          <w:sz w:val="24"/>
          <w:szCs w:val="24"/>
        </w:rPr>
        <w:t>家。地方政府能够在其各类网站中提供拆迁补偿指导性标准的为</w:t>
      </w:r>
      <w:r>
        <w:rPr>
          <w:rFonts w:ascii="宋体" w:hAnsi="宋体"/>
          <w:sz w:val="24"/>
          <w:szCs w:val="24"/>
        </w:rPr>
        <w:t>26</w:t>
      </w:r>
      <w:r>
        <w:rPr>
          <w:rFonts w:ascii="宋体" w:hAnsi="宋体" w:hint="eastAsia"/>
          <w:sz w:val="24"/>
          <w:szCs w:val="24"/>
        </w:rPr>
        <w:t>家；以文字和图表形式对拆迁流程作出说明的有</w:t>
      </w:r>
      <w:r>
        <w:rPr>
          <w:rFonts w:ascii="宋体" w:hAnsi="宋体"/>
          <w:sz w:val="24"/>
          <w:szCs w:val="24"/>
        </w:rPr>
        <w:t>10</w:t>
      </w:r>
      <w:r>
        <w:rPr>
          <w:rFonts w:ascii="宋体" w:hAnsi="宋体" w:hint="eastAsia"/>
          <w:sz w:val="24"/>
          <w:szCs w:val="24"/>
        </w:rPr>
        <w:t>家，仅采用其中一种方式说明的为</w:t>
      </w:r>
      <w:r>
        <w:rPr>
          <w:rFonts w:ascii="宋体" w:hAnsi="宋体"/>
          <w:sz w:val="24"/>
          <w:szCs w:val="24"/>
        </w:rPr>
        <w:t>11</w:t>
      </w:r>
      <w:r>
        <w:rPr>
          <w:rFonts w:ascii="宋体" w:hAnsi="宋体" w:hint="eastAsia"/>
          <w:sz w:val="24"/>
          <w:szCs w:val="24"/>
        </w:rPr>
        <w:t>家。此外，能够有效提供拆迁公司资质信息的有</w:t>
      </w:r>
      <w:r>
        <w:rPr>
          <w:rFonts w:ascii="宋体" w:hAnsi="宋体"/>
          <w:sz w:val="24"/>
          <w:szCs w:val="24"/>
        </w:rPr>
        <w:t>18</w:t>
      </w:r>
      <w:r>
        <w:rPr>
          <w:rFonts w:ascii="宋体" w:hAnsi="宋体" w:hint="eastAsia"/>
          <w:sz w:val="24"/>
          <w:szCs w:val="24"/>
        </w:rPr>
        <w:t>家；提供拆迁评估公司信息的有</w:t>
      </w:r>
      <w:r>
        <w:rPr>
          <w:rFonts w:ascii="宋体" w:hAnsi="宋体"/>
          <w:sz w:val="24"/>
          <w:szCs w:val="24"/>
        </w:rPr>
        <w:t>19</w:t>
      </w:r>
      <w:r>
        <w:rPr>
          <w:rFonts w:ascii="宋体" w:hAnsi="宋体" w:hint="eastAsia"/>
          <w:sz w:val="24"/>
          <w:szCs w:val="24"/>
        </w:rPr>
        <w:t>家。</w:t>
      </w:r>
    </w:p>
    <w:p w:rsidR="005A7195" w:rsidRDefault="00E7023C">
      <w:pPr>
        <w:ind w:firstLineChars="0" w:firstLine="420"/>
        <w:rPr>
          <w:rFonts w:ascii="宋体"/>
          <w:b/>
          <w:sz w:val="24"/>
          <w:szCs w:val="24"/>
        </w:rPr>
      </w:pPr>
      <w:r>
        <w:rPr>
          <w:rFonts w:ascii="宋体" w:hAnsi="宋体" w:hint="eastAsia"/>
          <w:b/>
          <w:sz w:val="24"/>
          <w:szCs w:val="24"/>
        </w:rPr>
        <w:t>（五）信息公开难以推陈出新</w:t>
      </w:r>
    </w:p>
    <w:p w:rsidR="005A7195" w:rsidRDefault="00E7023C">
      <w:pPr>
        <w:ind w:firstLineChars="195" w:firstLine="468"/>
        <w:rPr>
          <w:rFonts w:ascii="宋体"/>
          <w:sz w:val="24"/>
          <w:szCs w:val="24"/>
        </w:rPr>
      </w:pPr>
      <w:r>
        <w:rPr>
          <w:rFonts w:ascii="宋体" w:hAnsi="宋体" w:hint="eastAsia"/>
          <w:sz w:val="24"/>
          <w:szCs w:val="24"/>
        </w:rPr>
        <w:t>我国的政府信息公开在过去几十年发展速度缓慢，只是在近年来才得到迅速发展，因此导致政府信息公开制度虽然己实施几年，仍然经常会遇到</w:t>
      </w:r>
      <w:r>
        <w:rPr>
          <w:rFonts w:ascii="宋体" w:hAnsi="宋体" w:hint="eastAsia"/>
          <w:sz w:val="24"/>
          <w:szCs w:val="24"/>
        </w:rPr>
        <w:t>不能让公众及时、准确、完整地了解到相关的政府信息，甚至还会出现以讹传讹的恶性公众事件。受传统思维方式与工作方式局限，政府信息公开的情况不理想。</w:t>
      </w:r>
    </w:p>
    <w:p w:rsidR="005A7195" w:rsidRDefault="00E7023C">
      <w:pPr>
        <w:ind w:firstLineChars="195" w:firstLine="470"/>
        <w:rPr>
          <w:rFonts w:ascii="宋体"/>
          <w:b/>
          <w:sz w:val="24"/>
          <w:szCs w:val="24"/>
        </w:rPr>
      </w:pPr>
      <w:r>
        <w:rPr>
          <w:rFonts w:ascii="宋体" w:hAnsi="宋体"/>
          <w:b/>
          <w:sz w:val="24"/>
          <w:szCs w:val="24"/>
        </w:rPr>
        <w:t>1</w:t>
      </w:r>
      <w:r>
        <w:rPr>
          <w:rFonts w:ascii="宋体" w:hAnsi="宋体" w:hint="eastAsia"/>
          <w:b/>
          <w:sz w:val="24"/>
          <w:szCs w:val="24"/>
        </w:rPr>
        <w:t>、各级政府和领导重视程度不高</w:t>
      </w:r>
    </w:p>
    <w:p w:rsidR="005A7195" w:rsidRDefault="00E7023C">
      <w:pPr>
        <w:ind w:firstLineChars="195" w:firstLine="468"/>
        <w:rPr>
          <w:rFonts w:ascii="宋体"/>
          <w:sz w:val="24"/>
          <w:szCs w:val="24"/>
        </w:rPr>
      </w:pPr>
      <w:r>
        <w:rPr>
          <w:rFonts w:ascii="宋体" w:hAnsi="宋体" w:hint="eastAsia"/>
          <w:sz w:val="24"/>
          <w:szCs w:val="24"/>
        </w:rPr>
        <w:t>从总体上看，我国只是基本上建立起了政府信息公开的框架，多数部门信息公开仍停留在浅表层面。由于我国的信息长期处于政府所垄断的现状，注定了信息公开不可能在短期内就取得重大突破。在很多官员的眼中，政府信息是一种公共资源，更是权力的象征，对这一公共资源的分配则往往变现为部门利益和个人利益。“公开越多，做事就会越难”。这种想法不利于服务型政府职能的转变，也不利于政府信息公开的发展。</w:t>
      </w:r>
    </w:p>
    <w:p w:rsidR="005A7195" w:rsidRDefault="00E7023C">
      <w:pPr>
        <w:ind w:firstLineChars="0" w:firstLine="420"/>
        <w:rPr>
          <w:rFonts w:ascii="宋体"/>
          <w:b/>
          <w:sz w:val="24"/>
          <w:szCs w:val="24"/>
        </w:rPr>
      </w:pPr>
      <w:r>
        <w:rPr>
          <w:rFonts w:ascii="宋体" w:hAnsi="宋体"/>
          <w:b/>
          <w:sz w:val="24"/>
          <w:szCs w:val="24"/>
        </w:rPr>
        <w:t>2</w:t>
      </w:r>
      <w:r>
        <w:rPr>
          <w:rFonts w:ascii="宋体" w:hAnsi="宋体" w:hint="eastAsia"/>
          <w:b/>
          <w:sz w:val="24"/>
          <w:szCs w:val="24"/>
        </w:rPr>
        <w:t>、信息公开缺乏统一性和协调性</w:t>
      </w:r>
    </w:p>
    <w:p w:rsidR="005A7195" w:rsidRDefault="00E7023C">
      <w:pPr>
        <w:ind w:firstLineChars="0" w:firstLine="420"/>
        <w:rPr>
          <w:rFonts w:ascii="宋体"/>
          <w:sz w:val="24"/>
          <w:szCs w:val="24"/>
        </w:rPr>
      </w:pPr>
      <w:r>
        <w:rPr>
          <w:rFonts w:ascii="宋体" w:hAnsi="宋体" w:hint="eastAsia"/>
          <w:sz w:val="24"/>
          <w:szCs w:val="24"/>
        </w:rPr>
        <w:t>由于缺乏相应的管理部门以及统一的规划和部署，法制和其他相关机制明显滞后地区、部门和单位在信息公开方面大多</w:t>
      </w:r>
      <w:r>
        <w:rPr>
          <w:rFonts w:ascii="宋体" w:hAnsi="宋体" w:hint="eastAsia"/>
          <w:sz w:val="24"/>
          <w:szCs w:val="24"/>
        </w:rPr>
        <w:t>处于各自为政的状态，相互之间缺少统一性和协调性，公开的形式、公开的范围存在较大的差别。甚至由于部门之间相互封闭，造成信息割据的现象，阻碍了信息资源的互通与共享。</w:t>
      </w:r>
      <w:r>
        <w:rPr>
          <w:rFonts w:ascii="宋体" w:hAnsi="宋体"/>
          <w:sz w:val="24"/>
          <w:szCs w:val="24"/>
        </w:rPr>
        <w:t xml:space="preserve"> </w:t>
      </w:r>
    </w:p>
    <w:p w:rsidR="005A7195" w:rsidRDefault="00E7023C">
      <w:pPr>
        <w:ind w:firstLineChars="0" w:firstLine="420"/>
        <w:rPr>
          <w:rFonts w:ascii="宋体"/>
          <w:b/>
          <w:sz w:val="24"/>
          <w:szCs w:val="24"/>
        </w:rPr>
      </w:pPr>
      <w:r>
        <w:rPr>
          <w:rFonts w:ascii="宋体" w:hAnsi="宋体"/>
          <w:b/>
          <w:sz w:val="24"/>
          <w:szCs w:val="24"/>
        </w:rPr>
        <w:t>3</w:t>
      </w:r>
      <w:r>
        <w:rPr>
          <w:rFonts w:ascii="宋体" w:hAnsi="宋体" w:hint="eastAsia"/>
          <w:b/>
          <w:sz w:val="24"/>
          <w:szCs w:val="24"/>
        </w:rPr>
        <w:t>、信息公开的内容狭窄，沟通渠道不畅</w:t>
      </w:r>
    </w:p>
    <w:p w:rsidR="005A7195" w:rsidRDefault="00E7023C">
      <w:pPr>
        <w:ind w:firstLineChars="0" w:firstLine="420"/>
        <w:rPr>
          <w:rFonts w:ascii="宋体"/>
          <w:sz w:val="24"/>
          <w:szCs w:val="24"/>
        </w:rPr>
      </w:pPr>
      <w:r>
        <w:rPr>
          <w:rFonts w:ascii="宋体" w:hAnsi="宋体" w:hint="eastAsia"/>
          <w:sz w:val="24"/>
          <w:szCs w:val="24"/>
        </w:rPr>
        <w:t>当前政府公开的信息多是大家知道的及价值小的信息</w:t>
      </w:r>
      <w:r>
        <w:rPr>
          <w:rFonts w:ascii="宋体"/>
          <w:sz w:val="24"/>
          <w:szCs w:val="24"/>
        </w:rPr>
        <w:t>,</w:t>
      </w:r>
      <w:r>
        <w:rPr>
          <w:rFonts w:ascii="宋体" w:hAnsi="宋体" w:hint="eastAsia"/>
          <w:sz w:val="24"/>
          <w:szCs w:val="24"/>
        </w:rPr>
        <w:t>而公众和企业关心的信息却很少。现行制度关于政府信息公开内容的规定非常不完善</w:t>
      </w:r>
      <w:r>
        <w:rPr>
          <w:rFonts w:ascii="宋体"/>
          <w:sz w:val="24"/>
          <w:szCs w:val="24"/>
        </w:rPr>
        <w:t>,</w:t>
      </w:r>
      <w:r>
        <w:rPr>
          <w:rFonts w:ascii="宋体" w:hAnsi="宋体" w:hint="eastAsia"/>
          <w:sz w:val="24"/>
          <w:szCs w:val="24"/>
        </w:rPr>
        <w:t>突出一点就是保密的范围过于宽泛</w:t>
      </w:r>
      <w:r>
        <w:rPr>
          <w:rFonts w:ascii="宋体"/>
          <w:sz w:val="24"/>
          <w:szCs w:val="24"/>
        </w:rPr>
        <w:t>,</w:t>
      </w:r>
      <w:r>
        <w:rPr>
          <w:rFonts w:ascii="宋体" w:hAnsi="宋体" w:hint="eastAsia"/>
          <w:sz w:val="24"/>
          <w:szCs w:val="24"/>
        </w:rPr>
        <w:t>许多应该公开的信息由于贴上保密的标签也会成为政府不公开的理由。另一方面</w:t>
      </w:r>
      <w:r>
        <w:rPr>
          <w:rFonts w:ascii="宋体"/>
          <w:sz w:val="24"/>
          <w:szCs w:val="24"/>
        </w:rPr>
        <w:t>,</w:t>
      </w:r>
      <w:r>
        <w:rPr>
          <w:rFonts w:ascii="宋体" w:hAnsi="宋体" w:hint="eastAsia"/>
          <w:sz w:val="24"/>
          <w:szCs w:val="24"/>
        </w:rPr>
        <w:t>政府信息公开的方式单一</w:t>
      </w:r>
      <w:r>
        <w:rPr>
          <w:rFonts w:ascii="宋体"/>
          <w:sz w:val="24"/>
          <w:szCs w:val="24"/>
        </w:rPr>
        <w:t>,</w:t>
      </w:r>
      <w:r>
        <w:rPr>
          <w:rFonts w:ascii="宋体" w:hAnsi="宋体" w:hint="eastAsia"/>
          <w:sz w:val="24"/>
          <w:szCs w:val="24"/>
        </w:rPr>
        <w:t>主动公开方式占主导地位，依申请公开的方式比较少见，导致政府</w:t>
      </w:r>
      <w:r>
        <w:rPr>
          <w:rFonts w:ascii="宋体" w:hAnsi="宋体" w:hint="eastAsia"/>
          <w:sz w:val="24"/>
          <w:szCs w:val="24"/>
        </w:rPr>
        <w:t>部门对公民的知情权不够重视，沟通渠道不畅。</w:t>
      </w:r>
    </w:p>
    <w:p w:rsidR="005A7195" w:rsidRDefault="00E7023C">
      <w:pPr>
        <w:ind w:firstLineChars="0" w:firstLine="420"/>
        <w:rPr>
          <w:rFonts w:ascii="宋体"/>
          <w:b/>
          <w:sz w:val="24"/>
          <w:szCs w:val="24"/>
        </w:rPr>
      </w:pPr>
      <w:r>
        <w:rPr>
          <w:rFonts w:ascii="宋体" w:hAnsi="宋体"/>
          <w:b/>
          <w:sz w:val="24"/>
          <w:szCs w:val="24"/>
        </w:rPr>
        <w:t>4</w:t>
      </w:r>
      <w:r>
        <w:rPr>
          <w:rFonts w:ascii="宋体" w:hAnsi="宋体" w:hint="eastAsia"/>
          <w:b/>
          <w:sz w:val="24"/>
          <w:szCs w:val="24"/>
        </w:rPr>
        <w:t>、行政机关过于集权</w:t>
      </w:r>
      <w:r>
        <w:rPr>
          <w:rFonts w:ascii="宋体"/>
          <w:b/>
          <w:sz w:val="24"/>
          <w:szCs w:val="24"/>
        </w:rPr>
        <w:t>,</w:t>
      </w:r>
      <w:r>
        <w:rPr>
          <w:rFonts w:ascii="宋体" w:hAnsi="宋体" w:hint="eastAsia"/>
          <w:b/>
          <w:sz w:val="24"/>
          <w:szCs w:val="24"/>
        </w:rPr>
        <w:t>监管部门的监督作用比较薄弱</w:t>
      </w:r>
    </w:p>
    <w:p w:rsidR="005A7195" w:rsidRDefault="00E7023C">
      <w:pPr>
        <w:ind w:firstLineChars="0" w:firstLine="420"/>
        <w:rPr>
          <w:rFonts w:ascii="宋体"/>
          <w:sz w:val="24"/>
          <w:szCs w:val="24"/>
        </w:rPr>
      </w:pPr>
      <w:r>
        <w:rPr>
          <w:rFonts w:ascii="宋体" w:hAnsi="宋体" w:hint="eastAsia"/>
          <w:sz w:val="24"/>
          <w:szCs w:val="24"/>
        </w:rPr>
        <w:t>政府的信息由各个相关的行政部门负责公开</w:t>
      </w:r>
      <w:r>
        <w:rPr>
          <w:rFonts w:ascii="宋体"/>
          <w:sz w:val="24"/>
          <w:szCs w:val="24"/>
        </w:rPr>
        <w:t>,</w:t>
      </w:r>
      <w:r>
        <w:rPr>
          <w:rFonts w:ascii="宋体" w:hAnsi="宋体" w:hint="eastAsia"/>
          <w:sz w:val="24"/>
          <w:szCs w:val="24"/>
        </w:rPr>
        <w:t>他们拥有在各自职责范围内确定主动公开的政府信息的具体内容的权力</w:t>
      </w:r>
      <w:r>
        <w:rPr>
          <w:rFonts w:ascii="宋体"/>
          <w:sz w:val="24"/>
          <w:szCs w:val="24"/>
        </w:rPr>
        <w:t>,</w:t>
      </w:r>
      <w:r>
        <w:rPr>
          <w:rFonts w:ascii="宋体" w:hAnsi="宋体" w:hint="eastAsia"/>
          <w:sz w:val="24"/>
          <w:szCs w:val="24"/>
        </w:rPr>
        <w:t>所以有些部门只公开对自己有利的信</w:t>
      </w:r>
      <w:r>
        <w:rPr>
          <w:rFonts w:ascii="宋体" w:hAnsi="宋体" w:hint="eastAsia"/>
          <w:sz w:val="24"/>
          <w:szCs w:val="24"/>
        </w:rPr>
        <w:lastRenderedPageBreak/>
        <w:t>息。同时</w:t>
      </w:r>
      <w:r>
        <w:rPr>
          <w:rFonts w:ascii="宋体"/>
          <w:sz w:val="24"/>
          <w:szCs w:val="24"/>
        </w:rPr>
        <w:t>,</w:t>
      </w:r>
      <w:r>
        <w:rPr>
          <w:rFonts w:ascii="宋体" w:hAnsi="宋体" w:hint="eastAsia"/>
          <w:sz w:val="24"/>
          <w:szCs w:val="24"/>
        </w:rPr>
        <w:t>现行的是由政府单方面垄断的新闻管制体制</w:t>
      </w:r>
      <w:r>
        <w:rPr>
          <w:rFonts w:ascii="宋体"/>
          <w:sz w:val="24"/>
          <w:szCs w:val="24"/>
        </w:rPr>
        <w:t>,</w:t>
      </w:r>
      <w:r>
        <w:rPr>
          <w:rFonts w:ascii="宋体" w:hAnsi="宋体" w:hint="eastAsia"/>
          <w:sz w:val="24"/>
          <w:szCs w:val="24"/>
        </w:rPr>
        <w:t>行政机关掌握着新闻舆论的话语权</w:t>
      </w:r>
      <w:r>
        <w:rPr>
          <w:rFonts w:ascii="宋体"/>
          <w:sz w:val="24"/>
          <w:szCs w:val="24"/>
        </w:rPr>
        <w:t>,</w:t>
      </w:r>
      <w:r>
        <w:rPr>
          <w:rFonts w:ascii="宋体" w:hAnsi="宋体" w:hint="eastAsia"/>
          <w:sz w:val="24"/>
          <w:szCs w:val="24"/>
        </w:rPr>
        <w:t>部分行政机关对新闻媒体有关政府信息的传播以及社会公众对政府信息的评论还存在非法干预现象</w:t>
      </w:r>
      <w:r>
        <w:rPr>
          <w:rFonts w:ascii="宋体"/>
          <w:sz w:val="24"/>
          <w:szCs w:val="24"/>
        </w:rPr>
        <w:t>,</w:t>
      </w:r>
      <w:r>
        <w:rPr>
          <w:rFonts w:ascii="宋体" w:hAnsi="宋体" w:hint="eastAsia"/>
          <w:sz w:val="24"/>
          <w:szCs w:val="24"/>
        </w:rPr>
        <w:t>客观上影响了政府信息公开。</w:t>
      </w:r>
    </w:p>
    <w:p w:rsidR="005A7195" w:rsidRDefault="00E7023C">
      <w:pPr>
        <w:ind w:left="426" w:firstLineChars="0" w:firstLine="0"/>
        <w:rPr>
          <w:rFonts w:ascii="宋体"/>
          <w:b/>
          <w:sz w:val="24"/>
          <w:szCs w:val="24"/>
        </w:rPr>
      </w:pPr>
      <w:r>
        <w:rPr>
          <w:rFonts w:ascii="宋体" w:hAnsi="宋体"/>
          <w:b/>
          <w:sz w:val="24"/>
          <w:szCs w:val="24"/>
        </w:rPr>
        <w:t>5</w:t>
      </w:r>
      <w:r>
        <w:rPr>
          <w:rFonts w:ascii="宋体" w:hAnsi="宋体" w:hint="eastAsia"/>
          <w:b/>
          <w:sz w:val="24"/>
          <w:szCs w:val="24"/>
        </w:rPr>
        <w:t>、政府信息公开制度配套法规缺位，导致可操作性不强</w:t>
      </w:r>
    </w:p>
    <w:p w:rsidR="005A7195" w:rsidRDefault="00E7023C">
      <w:pPr>
        <w:ind w:firstLineChars="0" w:firstLine="420"/>
        <w:rPr>
          <w:rFonts w:ascii="宋体"/>
          <w:sz w:val="24"/>
          <w:szCs w:val="24"/>
        </w:rPr>
      </w:pPr>
      <w:r>
        <w:rPr>
          <w:rFonts w:ascii="宋体" w:hAnsi="宋体" w:hint="eastAsia"/>
          <w:sz w:val="24"/>
          <w:szCs w:val="24"/>
        </w:rPr>
        <w:t>《政府信息公开条例》没有明确规定</w:t>
      </w:r>
      <w:r>
        <w:rPr>
          <w:rFonts w:ascii="宋体" w:hAnsi="宋体" w:hint="eastAsia"/>
          <w:sz w:val="24"/>
          <w:szCs w:val="24"/>
        </w:rPr>
        <w:t>公民的知情权和政府信息“以公开为原则，不公开为例外”的原则必将影响《条例》的实施效果。《条例》有关政府信息公开界限的规定过于模糊，不利于公民知情权的实现。《条例》设定“须有特殊需要”的申请政府信息限制了公民知情权的实现。举报和第三人异议制度过于简陋，将影响《条例》的实施效果。</w:t>
      </w:r>
    </w:p>
    <w:p w:rsidR="005A7195" w:rsidRDefault="005A7195">
      <w:pPr>
        <w:ind w:firstLineChars="0" w:firstLine="420"/>
        <w:rPr>
          <w:rFonts w:ascii="宋体"/>
          <w:sz w:val="24"/>
          <w:szCs w:val="24"/>
        </w:rPr>
      </w:pPr>
    </w:p>
    <w:p w:rsidR="005A7195" w:rsidRDefault="00E7023C">
      <w:pPr>
        <w:ind w:firstLineChars="195" w:firstLine="548"/>
        <w:rPr>
          <w:rFonts w:ascii="宋体"/>
          <w:b/>
          <w:sz w:val="28"/>
          <w:szCs w:val="24"/>
        </w:rPr>
      </w:pPr>
      <w:r>
        <w:rPr>
          <w:rFonts w:ascii="宋体" w:hAnsi="宋体" w:hint="eastAsia"/>
          <w:b/>
          <w:sz w:val="28"/>
          <w:szCs w:val="24"/>
        </w:rPr>
        <w:t>四、</w:t>
      </w:r>
      <w:r>
        <w:rPr>
          <w:rFonts w:ascii="宋体" w:hAnsi="宋体"/>
          <w:b/>
          <w:sz w:val="28"/>
          <w:szCs w:val="24"/>
        </w:rPr>
        <w:t>2015</w:t>
      </w:r>
      <w:r>
        <w:rPr>
          <w:rFonts w:ascii="宋体" w:hAnsi="宋体" w:hint="eastAsia"/>
          <w:b/>
          <w:sz w:val="28"/>
          <w:szCs w:val="24"/>
        </w:rPr>
        <w:t>年：对策与展望</w:t>
      </w:r>
    </w:p>
    <w:p w:rsidR="005A7195" w:rsidRDefault="00E7023C">
      <w:pPr>
        <w:ind w:firstLineChars="0" w:firstLine="420"/>
        <w:rPr>
          <w:rFonts w:ascii="宋体"/>
          <w:sz w:val="24"/>
          <w:szCs w:val="24"/>
        </w:rPr>
      </w:pPr>
      <w:r>
        <w:rPr>
          <w:rFonts w:ascii="宋体" w:hAnsi="宋体" w:hint="eastAsia"/>
          <w:sz w:val="24"/>
          <w:szCs w:val="24"/>
        </w:rPr>
        <w:t>身为代理行政案件多年的律师事务所，尤其是征地拆迁案件深知其背后纷繁复杂的利益关系。而该领域不容乐观的政府信息公开状况更是与这些复杂的利益纠葛难脱干系。但是，我们还是希望能够提出几点建议来促进政府信息公开的</w:t>
      </w:r>
      <w:r>
        <w:rPr>
          <w:rFonts w:ascii="宋体" w:hAnsi="宋体" w:hint="eastAsia"/>
          <w:sz w:val="24"/>
          <w:szCs w:val="24"/>
        </w:rPr>
        <w:t>工作的进步与完善，这样既有利于行政机关重塑其公信力，也有利于维护政府与公民之间的和谐关系。</w:t>
      </w:r>
    </w:p>
    <w:p w:rsidR="005A7195" w:rsidRDefault="00E7023C">
      <w:pPr>
        <w:ind w:firstLineChars="0" w:firstLine="420"/>
        <w:rPr>
          <w:rFonts w:ascii="宋体"/>
          <w:b/>
          <w:sz w:val="24"/>
          <w:szCs w:val="24"/>
        </w:rPr>
      </w:pPr>
      <w:r>
        <w:rPr>
          <w:rFonts w:ascii="宋体" w:hAnsi="宋体" w:hint="eastAsia"/>
          <w:b/>
          <w:sz w:val="24"/>
          <w:szCs w:val="24"/>
        </w:rPr>
        <w:t>（一）制定《政府信息公开法》</w:t>
      </w:r>
    </w:p>
    <w:p w:rsidR="005A7195" w:rsidRDefault="00E7023C">
      <w:pPr>
        <w:ind w:firstLineChars="0" w:firstLine="420"/>
        <w:rPr>
          <w:rFonts w:ascii="宋体"/>
          <w:sz w:val="24"/>
          <w:szCs w:val="24"/>
        </w:rPr>
      </w:pPr>
      <w:r>
        <w:rPr>
          <w:rFonts w:ascii="宋体" w:hAnsi="宋体" w:hint="eastAsia"/>
          <w:sz w:val="24"/>
          <w:szCs w:val="24"/>
        </w:rPr>
        <w:t>政府信息公开条例位阶较低。因为是行政法规，在它的上面还有保密法和档案法，而且保密法刚刚修改。保密法里面确定的某些制度与信息公开的关系应该怎样处理，没有解决。解决政府信息公开条例和保密法、档案法之间协调的问题，应该将法规</w:t>
      </w:r>
      <w:r>
        <w:rPr>
          <w:rFonts w:ascii="宋体" w:hAnsi="宋体"/>
          <w:sz w:val="24"/>
          <w:szCs w:val="24"/>
        </w:rPr>
        <w:t>(</w:t>
      </w:r>
      <w:r>
        <w:rPr>
          <w:rFonts w:ascii="宋体" w:hAnsi="宋体" w:hint="eastAsia"/>
          <w:sz w:val="24"/>
          <w:szCs w:val="24"/>
        </w:rPr>
        <w:t>政府信息公开条例</w:t>
      </w:r>
      <w:r>
        <w:rPr>
          <w:rFonts w:ascii="宋体" w:hAnsi="宋体"/>
          <w:sz w:val="24"/>
          <w:szCs w:val="24"/>
        </w:rPr>
        <w:t>)</w:t>
      </w:r>
      <w:r>
        <w:rPr>
          <w:rFonts w:ascii="宋体" w:hAnsi="宋体" w:hint="eastAsia"/>
          <w:sz w:val="24"/>
          <w:szCs w:val="24"/>
        </w:rPr>
        <w:t>所设定的权利上升为法律所赋予的权利，将公众对政府信息的知情权明明白白写入法律，这是下一步政府信息公开立法很重要的任务。</w:t>
      </w:r>
      <w:r>
        <w:rPr>
          <w:rFonts w:ascii="宋体" w:hAnsi="宋体"/>
          <w:sz w:val="24"/>
          <w:szCs w:val="24"/>
        </w:rPr>
        <w:t xml:space="preserve"> </w:t>
      </w:r>
      <w:r>
        <w:rPr>
          <w:rFonts w:ascii="宋体" w:hAnsi="宋体" w:hint="eastAsia"/>
          <w:sz w:val="24"/>
          <w:szCs w:val="24"/>
        </w:rPr>
        <w:t>“把权力关进制度的笼子”，这个笼子需要社会公众共同打造，目前需要继续在法律方面有所改进，应将《政府信息公开条例》升级为《政府信息公开法》，坚决贯彻“公开为原则，不公开为例外”的基本精神。</w:t>
      </w:r>
    </w:p>
    <w:p w:rsidR="005A7195" w:rsidRDefault="00E7023C">
      <w:pPr>
        <w:ind w:firstLineChars="0" w:firstLine="420"/>
        <w:rPr>
          <w:rFonts w:ascii="宋体"/>
          <w:sz w:val="24"/>
          <w:szCs w:val="24"/>
        </w:rPr>
      </w:pPr>
      <w:r>
        <w:rPr>
          <w:rFonts w:ascii="宋体" w:hAnsi="宋体" w:hint="eastAsia"/>
          <w:sz w:val="24"/>
          <w:szCs w:val="24"/>
        </w:rPr>
        <w:t>相对于信息公开这样一个庞大的、具有重要价值的政务系统来说，仅仅以行政法规的层级来规定，显得位阶过低。同时，一些政府部门和工作人员的行政思维仍然强于法治思维，并没有充分认识到信息公开的现实意义，也没有对条例引起足够的重视。因此，亟须将条例上升为法律，进一步增强法律的权威性，让政府部门真正树立“信息公开是义务、申请公开是权利”</w:t>
      </w:r>
      <w:r>
        <w:rPr>
          <w:rFonts w:ascii="宋体" w:hAnsi="宋体" w:hint="eastAsia"/>
          <w:sz w:val="24"/>
          <w:szCs w:val="24"/>
        </w:rPr>
        <w:t>的法治意识。</w:t>
      </w:r>
    </w:p>
    <w:p w:rsidR="005A7195" w:rsidRDefault="00E7023C">
      <w:pPr>
        <w:ind w:firstLineChars="0" w:firstLine="420"/>
        <w:rPr>
          <w:rFonts w:ascii="宋体"/>
          <w:sz w:val="24"/>
          <w:szCs w:val="24"/>
        </w:rPr>
      </w:pPr>
      <w:r>
        <w:rPr>
          <w:rFonts w:ascii="宋体" w:hAnsi="宋体" w:hint="eastAsia"/>
          <w:sz w:val="24"/>
          <w:szCs w:val="24"/>
        </w:rPr>
        <w:t>政府信息公开条例在实施中，一些行政机关以保密法、公务员法等法规为据，或者称申请公开的信息涉密，或者说影响社会安定。破解上述现象，需要将条例升格为法律，倒逼政府部门的信息公开”</w:t>
      </w:r>
    </w:p>
    <w:p w:rsidR="005A7195" w:rsidRDefault="00E7023C">
      <w:pPr>
        <w:ind w:firstLineChars="0" w:firstLine="420"/>
        <w:rPr>
          <w:rFonts w:ascii="宋体"/>
          <w:b/>
          <w:sz w:val="24"/>
          <w:szCs w:val="24"/>
        </w:rPr>
      </w:pPr>
      <w:r>
        <w:rPr>
          <w:rFonts w:ascii="宋体" w:hAnsi="宋体" w:hint="eastAsia"/>
          <w:b/>
          <w:sz w:val="24"/>
          <w:szCs w:val="24"/>
        </w:rPr>
        <w:t>（二）行政机关主动公开</w:t>
      </w:r>
    </w:p>
    <w:p w:rsidR="005A7195" w:rsidRDefault="00E7023C">
      <w:pPr>
        <w:ind w:firstLineChars="0" w:firstLine="420"/>
        <w:rPr>
          <w:rFonts w:ascii="宋体"/>
          <w:sz w:val="24"/>
          <w:szCs w:val="24"/>
        </w:rPr>
      </w:pPr>
      <w:r>
        <w:rPr>
          <w:rFonts w:ascii="宋体" w:hAnsi="宋体" w:hint="eastAsia"/>
          <w:sz w:val="24"/>
          <w:szCs w:val="24"/>
        </w:rPr>
        <w:t>在征地拆迁案件中，公民不满拆迁补偿就是一种亟待被倾听和关注的民意。如果这种民意未能被关注，又没有通畅的利益诉求渠道，那么受到压制和扭曲的民意就会引发前文所述的群体性事件。由于征地拆迁领域政府信息不够公开透明，那么公民势必会对政府采取怀疑的态度，无论政府的行政行为合法与否，公民都会认为其中存在不可告</w:t>
      </w:r>
      <w:r>
        <w:rPr>
          <w:rFonts w:ascii="宋体" w:hAnsi="宋体" w:hint="eastAsia"/>
          <w:sz w:val="24"/>
          <w:szCs w:val="24"/>
        </w:rPr>
        <w:t>人的秘密从而对政府心存疑虑，这就导致政府的公信力在公民心中日渐式微。因此，行政机关必须转变延续两千多年的“官本位”思想，把行政机关由手握神秘权力的“衙门”转变为“急民之所急，想民之所想”的服务性政府。行政机关应当严格贯彻《条例》中“以主动公开”为主的精神，及时有效的将职权范围内应当主动公开的信息予以公开。</w:t>
      </w:r>
    </w:p>
    <w:p w:rsidR="005A7195" w:rsidRDefault="00E7023C">
      <w:pPr>
        <w:ind w:firstLineChars="0" w:firstLine="420"/>
        <w:rPr>
          <w:rFonts w:ascii="宋体"/>
          <w:b/>
          <w:sz w:val="24"/>
          <w:szCs w:val="24"/>
        </w:rPr>
      </w:pPr>
      <w:r>
        <w:rPr>
          <w:rFonts w:ascii="宋体" w:hAnsi="宋体" w:hint="eastAsia"/>
          <w:b/>
          <w:sz w:val="24"/>
          <w:szCs w:val="24"/>
        </w:rPr>
        <w:lastRenderedPageBreak/>
        <w:t>（三）法律制度具体化</w:t>
      </w:r>
    </w:p>
    <w:p w:rsidR="005A7195" w:rsidRDefault="00E7023C">
      <w:pPr>
        <w:ind w:firstLineChars="0" w:firstLine="420"/>
        <w:rPr>
          <w:rFonts w:ascii="宋体"/>
          <w:sz w:val="24"/>
          <w:szCs w:val="24"/>
        </w:rPr>
      </w:pPr>
      <w:r>
        <w:rPr>
          <w:rFonts w:ascii="宋体" w:hAnsi="宋体" w:hint="eastAsia"/>
          <w:sz w:val="24"/>
          <w:szCs w:val="24"/>
        </w:rPr>
        <w:t>良法在于行，法律的有效执行是关键。没有有效的程序，再明晰的公开范围也不可能转化为现实。应明确规定对应公开而不公开或不准确公开行为的法律责任，并与行政监察法、公务员法挂钩，使信息公开制</w:t>
      </w:r>
      <w:r>
        <w:rPr>
          <w:rFonts w:ascii="宋体" w:hAnsi="宋体" w:hint="eastAsia"/>
          <w:sz w:val="24"/>
          <w:szCs w:val="24"/>
        </w:rPr>
        <w:t>度更有威慑力。</w:t>
      </w:r>
    </w:p>
    <w:p w:rsidR="005A7195" w:rsidRDefault="00E7023C">
      <w:pPr>
        <w:ind w:firstLineChars="0" w:firstLine="420"/>
        <w:rPr>
          <w:rFonts w:ascii="宋体"/>
          <w:sz w:val="24"/>
          <w:szCs w:val="24"/>
        </w:rPr>
      </w:pPr>
      <w:r>
        <w:rPr>
          <w:rFonts w:ascii="宋体" w:hAnsi="宋体" w:hint="eastAsia"/>
          <w:sz w:val="24"/>
          <w:szCs w:val="24"/>
        </w:rPr>
        <w:t>“当前信息公开过程受阻，一方面是因为公务人员没有认清‘信息公开是义务’的现实，另一方面是因为公务人员长期抱有‘多一事不如少一事’的态度。为此，在信息公开制度的设计和实践中，既要有强硬的监督措施，也要有更多的激励措施，破除‘少说不说不会出事，说多说错就会出事’的观念。有无公开信息是可以考核的，有必要制定国家信息公开考核制度，增强信息公开的主动性。</w:t>
      </w:r>
    </w:p>
    <w:p w:rsidR="005A7195" w:rsidRDefault="00E7023C">
      <w:pPr>
        <w:ind w:firstLineChars="0" w:firstLine="420"/>
        <w:rPr>
          <w:rFonts w:ascii="宋体"/>
          <w:sz w:val="24"/>
          <w:szCs w:val="24"/>
        </w:rPr>
      </w:pPr>
      <w:r>
        <w:rPr>
          <w:rFonts w:ascii="宋体" w:hAnsi="宋体" w:hint="eastAsia"/>
          <w:sz w:val="24"/>
          <w:szCs w:val="24"/>
        </w:rPr>
        <w:t>如何让制度落地，应设立一个专门的信息公开机构，信息公开是个专业化的问题，涉及多个领域的知识，需要专职人员参与。同时公众也应转变观念，不能以信息公开为</w:t>
      </w:r>
      <w:r>
        <w:rPr>
          <w:rFonts w:ascii="宋体" w:hAnsi="宋体" w:hint="eastAsia"/>
          <w:sz w:val="24"/>
          <w:szCs w:val="24"/>
        </w:rPr>
        <w:t>手段，与政府讨价还价，应自觉合理地行使公民的知情权和监督权。</w:t>
      </w:r>
    </w:p>
    <w:p w:rsidR="005A7195" w:rsidRDefault="00E7023C">
      <w:pPr>
        <w:ind w:firstLineChars="0" w:firstLine="420"/>
        <w:rPr>
          <w:rFonts w:ascii="宋体"/>
          <w:sz w:val="24"/>
          <w:szCs w:val="24"/>
        </w:rPr>
      </w:pPr>
      <w:r>
        <w:rPr>
          <w:rFonts w:ascii="宋体" w:hAnsi="宋体" w:hint="eastAsia"/>
          <w:sz w:val="24"/>
          <w:szCs w:val="24"/>
        </w:rPr>
        <w:t>法律总是概括的、抽象的，但是法律制度要得到实际执行，还必须具体化。日前国务院办公厅印发的《</w:t>
      </w:r>
      <w:r>
        <w:rPr>
          <w:rFonts w:ascii="宋体" w:hAnsi="宋体"/>
          <w:sz w:val="24"/>
          <w:szCs w:val="24"/>
        </w:rPr>
        <w:t>2014</w:t>
      </w:r>
      <w:r>
        <w:rPr>
          <w:rFonts w:ascii="宋体" w:hAnsi="宋体" w:hint="eastAsia"/>
          <w:sz w:val="24"/>
          <w:szCs w:val="24"/>
        </w:rPr>
        <w:t>年政府信息公开工作要点》就要求各级政府重点推进财政预算决算、“三公”经费和行政经费、保障性住房、食品安全、环境保护、征地拆迁、价格和收费等的信息公开。</w:t>
      </w:r>
    </w:p>
    <w:p w:rsidR="005A7195" w:rsidRDefault="00E7023C">
      <w:pPr>
        <w:ind w:firstLineChars="0" w:firstLine="420"/>
        <w:rPr>
          <w:rFonts w:ascii="宋体"/>
          <w:b/>
          <w:sz w:val="24"/>
          <w:szCs w:val="24"/>
        </w:rPr>
      </w:pPr>
      <w:r>
        <w:rPr>
          <w:rFonts w:ascii="宋体" w:hAnsi="宋体" w:hint="eastAsia"/>
          <w:b/>
          <w:sz w:val="24"/>
          <w:szCs w:val="24"/>
        </w:rPr>
        <w:t>（四）完善保密法</w:t>
      </w:r>
    </w:p>
    <w:p w:rsidR="005A7195" w:rsidRDefault="00E7023C">
      <w:pPr>
        <w:ind w:firstLineChars="0" w:firstLine="420"/>
        <w:rPr>
          <w:rFonts w:ascii="宋体"/>
          <w:sz w:val="24"/>
          <w:szCs w:val="24"/>
        </w:rPr>
      </w:pPr>
      <w:r>
        <w:rPr>
          <w:rFonts w:ascii="宋体" w:hAnsi="宋体" w:hint="eastAsia"/>
          <w:sz w:val="24"/>
          <w:szCs w:val="24"/>
        </w:rPr>
        <w:t>透明政府的建立和公民知情权的有效实现，还有待于保密法的修改完善。现行保密法是上世纪制定的，有些规定与政府信息公开原则有不相适应之处。《政府信息公开条例》属于行政法规范畴，其位阶低于保</w:t>
      </w:r>
      <w:r>
        <w:rPr>
          <w:rFonts w:ascii="宋体" w:hAnsi="宋体" w:hint="eastAsia"/>
          <w:sz w:val="24"/>
          <w:szCs w:val="24"/>
        </w:rPr>
        <w:t>密法。按照立法的一般规律，本应按照政府信息公开的精神先修改保密法，然后再制定《政府信息公开条例》，然而由于种种原因，最终在法律尚未修改的前提下就颁布实施了信息公开条例。也正因为此，我们应该按照信息公开的精神考虑保密法的修改完善，从而有利于保障《政府信息公开条例》的实施效果，达到建立透明政府和保障公民知情权的目标。</w:t>
      </w:r>
    </w:p>
    <w:p w:rsidR="005A7195" w:rsidRDefault="00E7023C">
      <w:pPr>
        <w:ind w:firstLineChars="0" w:firstLine="420"/>
        <w:rPr>
          <w:rFonts w:ascii="宋体"/>
          <w:b/>
          <w:sz w:val="24"/>
          <w:szCs w:val="24"/>
        </w:rPr>
      </w:pPr>
      <w:r>
        <w:rPr>
          <w:rFonts w:ascii="宋体" w:hAnsi="宋体" w:hint="eastAsia"/>
          <w:b/>
          <w:sz w:val="24"/>
          <w:szCs w:val="24"/>
        </w:rPr>
        <w:t>（五）鼓励司法救济的使用</w:t>
      </w:r>
    </w:p>
    <w:p w:rsidR="005A7195" w:rsidRDefault="00E7023C">
      <w:pPr>
        <w:ind w:firstLineChars="0" w:firstLine="420"/>
        <w:rPr>
          <w:rFonts w:ascii="宋体"/>
          <w:sz w:val="24"/>
          <w:szCs w:val="24"/>
        </w:rPr>
      </w:pPr>
      <w:r>
        <w:rPr>
          <w:rFonts w:ascii="宋体" w:hAnsi="宋体" w:hint="eastAsia"/>
          <w:sz w:val="24"/>
          <w:szCs w:val="24"/>
        </w:rPr>
        <w:t>政府信息公开的主体主要是行政机关和法律、法规授权的具有管理公共事务职能的组织，一般是属于相对强权的机关，而普通公众属于弱势的一方，其信息公开不仅仅是政府部门的责任，更应当</w:t>
      </w:r>
      <w:r>
        <w:rPr>
          <w:rFonts w:ascii="宋体" w:hAnsi="宋体" w:hint="eastAsia"/>
          <w:sz w:val="24"/>
          <w:szCs w:val="24"/>
        </w:rPr>
        <w:t>是不能推卸的法定义务。“无救济则无权利”，在面对政府部门不履行公开的义务或设置人为障碍时，作为对公权力机关有效监督的司法途径，就应当成为社会公众主张权利的有力途径。只有从制度上保证任何公众都可以对政府部门的不作为或不完全作为的行为能及时有效地提起行政诉讼来捍卫自身的知情权时，这样才能让政府机关真正成为“为人民服务”的公共管理机构。</w:t>
      </w:r>
    </w:p>
    <w:p w:rsidR="005A7195" w:rsidRDefault="00E7023C">
      <w:pPr>
        <w:ind w:firstLineChars="0" w:firstLine="420"/>
        <w:rPr>
          <w:rFonts w:ascii="宋体"/>
          <w:sz w:val="24"/>
          <w:szCs w:val="24"/>
        </w:rPr>
      </w:pPr>
      <w:r>
        <w:rPr>
          <w:rFonts w:ascii="宋体" w:hAnsi="宋体" w:hint="eastAsia"/>
          <w:sz w:val="24"/>
          <w:szCs w:val="24"/>
        </w:rPr>
        <w:t>征地拆迁是伴随着工业化、城镇化进程而不可回避的一项重要的基础性工作。由于事关人民群众的根本利益，因征地拆迁引发的纠纷已经成为近年来群众信访的一大焦点。违法、强制性的征地拆迁方式严</w:t>
      </w:r>
      <w:r>
        <w:rPr>
          <w:rFonts w:ascii="宋体" w:hAnsi="宋体" w:hint="eastAsia"/>
          <w:sz w:val="24"/>
          <w:szCs w:val="24"/>
        </w:rPr>
        <w:t>重损害了公民的基本权利，为社会不稳定埋下了隐患。通过推进政府征地拆迁信息公开工作来减少暴力强拆对人民群众生命与财产的践踏，使我们每一位法律工作者的光荣使命。</w:t>
      </w:r>
    </w:p>
    <w:p w:rsidR="005A7195" w:rsidRDefault="005A7195">
      <w:pPr>
        <w:ind w:firstLineChars="0" w:firstLine="420"/>
        <w:rPr>
          <w:rFonts w:ascii="宋体"/>
          <w:sz w:val="24"/>
          <w:szCs w:val="24"/>
        </w:rPr>
      </w:pPr>
    </w:p>
    <w:p w:rsidR="005A7195" w:rsidRDefault="005A7195">
      <w:pPr>
        <w:ind w:firstLineChars="0" w:firstLine="0"/>
        <w:rPr>
          <w:rFonts w:ascii="宋体"/>
          <w:sz w:val="24"/>
          <w:szCs w:val="24"/>
        </w:rPr>
      </w:pPr>
    </w:p>
    <w:p w:rsidR="005A7195" w:rsidRDefault="005A7195">
      <w:pPr>
        <w:ind w:firstLineChars="0" w:firstLine="420"/>
        <w:rPr>
          <w:rFonts w:ascii="宋体"/>
          <w:sz w:val="24"/>
          <w:szCs w:val="24"/>
        </w:rPr>
      </w:pPr>
    </w:p>
    <w:sectPr w:rsidR="005A7195">
      <w:type w:val="continuous"/>
      <w:pgSz w:w="11906" w:h="16838"/>
      <w:pgMar w:top="1440" w:right="1800"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23C" w:rsidRDefault="00E7023C" w:rsidP="009478DB">
      <w:pPr>
        <w:ind w:firstLine="420"/>
      </w:pPr>
      <w:r>
        <w:separator/>
      </w:r>
    </w:p>
  </w:endnote>
  <w:endnote w:type="continuationSeparator" w:id="0">
    <w:p w:rsidR="00E7023C" w:rsidRDefault="00E7023C" w:rsidP="009478D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95" w:rsidRDefault="005A71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95" w:rsidRDefault="005A719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95" w:rsidRDefault="005A7195">
    <w:pPr>
      <w:pStyle w:val="a4"/>
      <w:ind w:firstLine="420"/>
      <w:jc w:val="center"/>
    </w:pPr>
  </w:p>
  <w:p w:rsidR="005A7195" w:rsidRDefault="005A719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195" w:type="dxa"/>
      <w:tblLayout w:type="fixed"/>
      <w:tblCellMar>
        <w:top w:w="72" w:type="dxa"/>
        <w:left w:w="115" w:type="dxa"/>
        <w:bottom w:w="72" w:type="dxa"/>
        <w:right w:w="115" w:type="dxa"/>
      </w:tblCellMar>
      <w:tblLook w:val="04A0" w:firstRow="1" w:lastRow="0" w:firstColumn="1" w:lastColumn="0" w:noHBand="0" w:noVBand="1"/>
    </w:tblPr>
    <w:tblGrid>
      <w:gridCol w:w="7684"/>
      <w:gridCol w:w="511"/>
    </w:tblGrid>
    <w:tr w:rsidR="005A7195">
      <w:tc>
        <w:tcPr>
          <w:tcW w:w="7684" w:type="dxa"/>
          <w:tcBorders>
            <w:top w:val="single" w:sz="4" w:space="0" w:color="000000"/>
          </w:tcBorders>
          <w:shd w:val="clear" w:color="auto" w:fill="auto"/>
        </w:tcPr>
        <w:p w:rsidR="005A7195" w:rsidRDefault="00E7023C">
          <w:pPr>
            <w:pStyle w:val="a4"/>
            <w:ind w:firstLine="420"/>
            <w:jc w:val="right"/>
          </w:pPr>
          <w:r>
            <w:rPr>
              <w:rFonts w:hint="eastAsia"/>
              <w:sz w:val="21"/>
              <w:szCs w:val="22"/>
            </w:rPr>
            <w:t>北京圣运律师事务所</w:t>
          </w:r>
          <w:r>
            <w:rPr>
              <w:sz w:val="21"/>
              <w:szCs w:val="22"/>
              <w:lang w:val="zh-CN"/>
            </w:rPr>
            <w:t xml:space="preserve"> |</w:t>
          </w:r>
        </w:p>
      </w:tc>
      <w:tc>
        <w:tcPr>
          <w:tcW w:w="511" w:type="dxa"/>
          <w:tcBorders>
            <w:top w:val="single" w:sz="4" w:space="0" w:color="C0504D"/>
          </w:tcBorders>
          <w:shd w:val="clear" w:color="auto" w:fill="943634"/>
        </w:tcPr>
        <w:p w:rsidR="005A7195" w:rsidRDefault="00E7023C">
          <w:pPr>
            <w:pStyle w:val="a5"/>
            <w:rPr>
              <w:color w:val="FFFFFF"/>
              <w:sz w:val="21"/>
              <w:szCs w:val="22"/>
            </w:rPr>
          </w:pPr>
          <w:r>
            <w:rPr>
              <w:sz w:val="21"/>
              <w:szCs w:val="22"/>
            </w:rPr>
            <w:fldChar w:fldCharType="begin"/>
          </w:r>
          <w:r>
            <w:rPr>
              <w:sz w:val="21"/>
              <w:szCs w:val="22"/>
            </w:rPr>
            <w:instrText xml:space="preserve"> PAGE   \* MERGEFORMAT </w:instrText>
          </w:r>
          <w:r>
            <w:rPr>
              <w:sz w:val="21"/>
              <w:szCs w:val="22"/>
            </w:rPr>
            <w:fldChar w:fldCharType="separate"/>
          </w:r>
          <w:r w:rsidR="00324151" w:rsidRPr="00324151">
            <w:rPr>
              <w:noProof/>
              <w:color w:val="FFFFFF"/>
              <w:sz w:val="21"/>
              <w:szCs w:val="22"/>
              <w:lang w:val="zh-CN"/>
            </w:rPr>
            <w:t>8</w:t>
          </w:r>
          <w:r>
            <w:rPr>
              <w:color w:val="FFFFFF"/>
              <w:sz w:val="21"/>
              <w:szCs w:val="22"/>
              <w:lang w:val="zh-CN"/>
            </w:rPr>
            <w:fldChar w:fldCharType="end"/>
          </w:r>
        </w:p>
      </w:tc>
    </w:tr>
  </w:tbl>
  <w:p w:rsidR="005A7195" w:rsidRDefault="005A7195">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95" w:rsidRDefault="005A7195">
    <w:pPr>
      <w:pStyle w:val="a4"/>
      <w:ind w:firstLine="420"/>
      <w:jc w:val="center"/>
    </w:pPr>
  </w:p>
  <w:p w:rsidR="005A7195" w:rsidRDefault="005A7195">
    <w:pPr>
      <w:pStyle w:val="a4"/>
      <w:ind w:firstLine="42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195" w:type="dxa"/>
      <w:tblLayout w:type="fixed"/>
      <w:tblCellMar>
        <w:top w:w="72" w:type="dxa"/>
        <w:left w:w="115" w:type="dxa"/>
        <w:bottom w:w="72" w:type="dxa"/>
        <w:right w:w="115" w:type="dxa"/>
      </w:tblCellMar>
      <w:tblLook w:val="04A0" w:firstRow="1" w:lastRow="0" w:firstColumn="1" w:lastColumn="0" w:noHBand="0" w:noVBand="1"/>
    </w:tblPr>
    <w:tblGrid>
      <w:gridCol w:w="7680"/>
      <w:gridCol w:w="515"/>
    </w:tblGrid>
    <w:tr w:rsidR="005A7195">
      <w:tc>
        <w:tcPr>
          <w:tcW w:w="7680" w:type="dxa"/>
          <w:tcBorders>
            <w:top w:val="single" w:sz="4" w:space="0" w:color="000000"/>
          </w:tcBorders>
          <w:shd w:val="clear" w:color="auto" w:fill="auto"/>
        </w:tcPr>
        <w:p w:rsidR="005A7195" w:rsidRDefault="00E7023C">
          <w:pPr>
            <w:pStyle w:val="a4"/>
            <w:ind w:firstLine="420"/>
            <w:jc w:val="right"/>
          </w:pPr>
          <w:r>
            <w:rPr>
              <w:rFonts w:hint="eastAsia"/>
              <w:sz w:val="21"/>
              <w:szCs w:val="22"/>
            </w:rPr>
            <w:t>北京圣运律师事务所</w:t>
          </w:r>
          <w:r>
            <w:rPr>
              <w:sz w:val="21"/>
              <w:szCs w:val="22"/>
              <w:lang w:val="zh-CN"/>
            </w:rPr>
            <w:t xml:space="preserve"> |</w:t>
          </w:r>
        </w:p>
      </w:tc>
      <w:tc>
        <w:tcPr>
          <w:tcW w:w="515" w:type="dxa"/>
          <w:tcBorders>
            <w:top w:val="single" w:sz="4" w:space="0" w:color="C0504D"/>
            <w:bottom w:val="nil"/>
          </w:tcBorders>
          <w:shd w:val="clear" w:color="auto" w:fill="943634"/>
        </w:tcPr>
        <w:p w:rsidR="005A7195" w:rsidRDefault="00E7023C">
          <w:pPr>
            <w:pStyle w:val="a5"/>
            <w:rPr>
              <w:color w:val="FFFFFF"/>
              <w:sz w:val="21"/>
              <w:szCs w:val="22"/>
            </w:rPr>
          </w:pPr>
          <w:r>
            <w:rPr>
              <w:sz w:val="21"/>
              <w:szCs w:val="22"/>
            </w:rPr>
            <w:fldChar w:fldCharType="begin"/>
          </w:r>
          <w:r>
            <w:rPr>
              <w:sz w:val="21"/>
              <w:szCs w:val="22"/>
            </w:rPr>
            <w:instrText xml:space="preserve"> PAGE   \* MERGEFORMAT </w:instrText>
          </w:r>
          <w:r>
            <w:rPr>
              <w:sz w:val="21"/>
              <w:szCs w:val="22"/>
            </w:rPr>
            <w:fldChar w:fldCharType="separate"/>
          </w:r>
          <w:r w:rsidR="009478DB" w:rsidRPr="009478DB">
            <w:rPr>
              <w:noProof/>
              <w:color w:val="FFFFFF"/>
              <w:sz w:val="21"/>
              <w:szCs w:val="22"/>
              <w:lang w:val="zh-CN"/>
            </w:rPr>
            <w:t>1</w:t>
          </w:r>
          <w:r>
            <w:rPr>
              <w:color w:val="FFFFFF"/>
              <w:sz w:val="21"/>
              <w:szCs w:val="22"/>
              <w:lang w:val="zh-CN"/>
            </w:rPr>
            <w:fldChar w:fldCharType="end"/>
          </w:r>
        </w:p>
      </w:tc>
    </w:tr>
  </w:tbl>
  <w:p w:rsidR="005A7195" w:rsidRDefault="005A71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23C" w:rsidRDefault="00E7023C" w:rsidP="009478DB">
      <w:pPr>
        <w:ind w:firstLine="420"/>
      </w:pPr>
      <w:r>
        <w:separator/>
      </w:r>
    </w:p>
  </w:footnote>
  <w:footnote w:type="continuationSeparator" w:id="0">
    <w:p w:rsidR="00E7023C" w:rsidRDefault="00E7023C" w:rsidP="009478DB">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95" w:rsidRDefault="005A719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95" w:rsidRDefault="00E7023C">
    <w:pPr>
      <w:pStyle w:val="a5"/>
      <w:ind w:firstLine="420"/>
      <w:rPr>
        <w:color w:val="A6A6A6"/>
        <w:sz w:val="13"/>
      </w:rPr>
    </w:pPr>
    <w:r>
      <w:rPr>
        <w:rFonts w:ascii="黑体" w:eastAsia="黑体" w:hAnsi="黑体"/>
        <w:color w:val="A6A6A6"/>
        <w:sz w:val="28"/>
        <w:szCs w:val="44"/>
      </w:rPr>
      <w:t>2014</w:t>
    </w:r>
    <w:r>
      <w:rPr>
        <w:rFonts w:ascii="黑体" w:eastAsia="黑体" w:hAnsi="黑体" w:hint="eastAsia"/>
        <w:color w:val="A6A6A6"/>
        <w:sz w:val="28"/>
        <w:szCs w:val="44"/>
      </w:rPr>
      <w:t>年征地拆迁信息公开年度报告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195" w:rsidRDefault="005A71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F4D35"/>
    <w:multiLevelType w:val="multilevel"/>
    <w:tmpl w:val="274F4D35"/>
    <w:lvl w:ilvl="0">
      <w:start w:val="1"/>
      <w:numFmt w:val="japaneseCounting"/>
      <w:lvlText w:val="（%1）"/>
      <w:lvlJc w:val="left"/>
      <w:pPr>
        <w:ind w:left="1235" w:hanging="765"/>
      </w:pPr>
      <w:rPr>
        <w:rFonts w:cs="Times New Roman" w:hint="default"/>
      </w:rPr>
    </w:lvl>
    <w:lvl w:ilvl="1" w:tentative="1">
      <w:start w:val="1"/>
      <w:numFmt w:val="lowerLetter"/>
      <w:lvlText w:val="%2)"/>
      <w:lvlJc w:val="left"/>
      <w:pPr>
        <w:ind w:left="1310" w:hanging="420"/>
      </w:pPr>
      <w:rPr>
        <w:rFonts w:cs="Times New Roman"/>
      </w:rPr>
    </w:lvl>
    <w:lvl w:ilvl="2" w:tentative="1">
      <w:start w:val="1"/>
      <w:numFmt w:val="lowerRoman"/>
      <w:lvlText w:val="%3."/>
      <w:lvlJc w:val="right"/>
      <w:pPr>
        <w:ind w:left="1730" w:hanging="420"/>
      </w:pPr>
      <w:rPr>
        <w:rFonts w:cs="Times New Roman"/>
      </w:rPr>
    </w:lvl>
    <w:lvl w:ilvl="3" w:tentative="1">
      <w:start w:val="1"/>
      <w:numFmt w:val="decimal"/>
      <w:lvlText w:val="%4."/>
      <w:lvlJc w:val="left"/>
      <w:pPr>
        <w:ind w:left="2150" w:hanging="420"/>
      </w:pPr>
      <w:rPr>
        <w:rFonts w:cs="Times New Roman"/>
      </w:rPr>
    </w:lvl>
    <w:lvl w:ilvl="4" w:tentative="1">
      <w:start w:val="1"/>
      <w:numFmt w:val="lowerLetter"/>
      <w:lvlText w:val="%5)"/>
      <w:lvlJc w:val="left"/>
      <w:pPr>
        <w:ind w:left="2570" w:hanging="420"/>
      </w:pPr>
      <w:rPr>
        <w:rFonts w:cs="Times New Roman"/>
      </w:rPr>
    </w:lvl>
    <w:lvl w:ilvl="5" w:tentative="1">
      <w:start w:val="1"/>
      <w:numFmt w:val="lowerRoman"/>
      <w:lvlText w:val="%6."/>
      <w:lvlJc w:val="right"/>
      <w:pPr>
        <w:ind w:left="2990" w:hanging="420"/>
      </w:pPr>
      <w:rPr>
        <w:rFonts w:cs="Times New Roman"/>
      </w:rPr>
    </w:lvl>
    <w:lvl w:ilvl="6" w:tentative="1">
      <w:start w:val="1"/>
      <w:numFmt w:val="decimal"/>
      <w:lvlText w:val="%7."/>
      <w:lvlJc w:val="left"/>
      <w:pPr>
        <w:ind w:left="3410" w:hanging="420"/>
      </w:pPr>
      <w:rPr>
        <w:rFonts w:cs="Times New Roman"/>
      </w:rPr>
    </w:lvl>
    <w:lvl w:ilvl="7" w:tentative="1">
      <w:start w:val="1"/>
      <w:numFmt w:val="lowerLetter"/>
      <w:lvlText w:val="%8)"/>
      <w:lvlJc w:val="left"/>
      <w:pPr>
        <w:ind w:left="3830" w:hanging="420"/>
      </w:pPr>
      <w:rPr>
        <w:rFonts w:cs="Times New Roman"/>
      </w:rPr>
    </w:lvl>
    <w:lvl w:ilvl="8" w:tentative="1">
      <w:start w:val="1"/>
      <w:numFmt w:val="lowerRoman"/>
      <w:lvlText w:val="%9."/>
      <w:lvlJc w:val="right"/>
      <w:pPr>
        <w:ind w:left="4250" w:hanging="420"/>
      </w:pPr>
      <w:rPr>
        <w:rFonts w:cs="Times New Roman"/>
      </w:rPr>
    </w:lvl>
  </w:abstractNum>
  <w:abstractNum w:abstractNumId="1">
    <w:nsid w:val="45576CB0"/>
    <w:multiLevelType w:val="multilevel"/>
    <w:tmpl w:val="45576CB0"/>
    <w:lvl w:ilvl="0">
      <w:start w:val="1"/>
      <w:numFmt w:val="japaneseCounting"/>
      <w:lvlText w:val="（%1）"/>
      <w:lvlJc w:val="left"/>
      <w:pPr>
        <w:ind w:left="1235" w:hanging="765"/>
      </w:pPr>
      <w:rPr>
        <w:rFonts w:cs="Times New Roman" w:hint="default"/>
      </w:rPr>
    </w:lvl>
    <w:lvl w:ilvl="1" w:tentative="1">
      <w:start w:val="1"/>
      <w:numFmt w:val="lowerLetter"/>
      <w:lvlText w:val="%2)"/>
      <w:lvlJc w:val="left"/>
      <w:pPr>
        <w:ind w:left="1310" w:hanging="420"/>
      </w:pPr>
      <w:rPr>
        <w:rFonts w:cs="Times New Roman"/>
      </w:rPr>
    </w:lvl>
    <w:lvl w:ilvl="2" w:tentative="1">
      <w:start w:val="1"/>
      <w:numFmt w:val="lowerRoman"/>
      <w:lvlText w:val="%3."/>
      <w:lvlJc w:val="right"/>
      <w:pPr>
        <w:ind w:left="1730" w:hanging="420"/>
      </w:pPr>
      <w:rPr>
        <w:rFonts w:cs="Times New Roman"/>
      </w:rPr>
    </w:lvl>
    <w:lvl w:ilvl="3" w:tentative="1">
      <w:start w:val="1"/>
      <w:numFmt w:val="decimal"/>
      <w:lvlText w:val="%4."/>
      <w:lvlJc w:val="left"/>
      <w:pPr>
        <w:ind w:left="2150" w:hanging="420"/>
      </w:pPr>
      <w:rPr>
        <w:rFonts w:cs="Times New Roman"/>
      </w:rPr>
    </w:lvl>
    <w:lvl w:ilvl="4" w:tentative="1">
      <w:start w:val="1"/>
      <w:numFmt w:val="lowerLetter"/>
      <w:lvlText w:val="%5)"/>
      <w:lvlJc w:val="left"/>
      <w:pPr>
        <w:ind w:left="2570" w:hanging="420"/>
      </w:pPr>
      <w:rPr>
        <w:rFonts w:cs="Times New Roman"/>
      </w:rPr>
    </w:lvl>
    <w:lvl w:ilvl="5" w:tentative="1">
      <w:start w:val="1"/>
      <w:numFmt w:val="lowerRoman"/>
      <w:lvlText w:val="%6."/>
      <w:lvlJc w:val="right"/>
      <w:pPr>
        <w:ind w:left="2990" w:hanging="420"/>
      </w:pPr>
      <w:rPr>
        <w:rFonts w:cs="Times New Roman"/>
      </w:rPr>
    </w:lvl>
    <w:lvl w:ilvl="6" w:tentative="1">
      <w:start w:val="1"/>
      <w:numFmt w:val="decimal"/>
      <w:lvlText w:val="%7."/>
      <w:lvlJc w:val="left"/>
      <w:pPr>
        <w:ind w:left="3410" w:hanging="420"/>
      </w:pPr>
      <w:rPr>
        <w:rFonts w:cs="Times New Roman"/>
      </w:rPr>
    </w:lvl>
    <w:lvl w:ilvl="7" w:tentative="1">
      <w:start w:val="1"/>
      <w:numFmt w:val="lowerLetter"/>
      <w:lvlText w:val="%8)"/>
      <w:lvlJc w:val="left"/>
      <w:pPr>
        <w:ind w:left="3830" w:hanging="420"/>
      </w:pPr>
      <w:rPr>
        <w:rFonts w:cs="Times New Roman"/>
      </w:rPr>
    </w:lvl>
    <w:lvl w:ilvl="8" w:tentative="1">
      <w:start w:val="1"/>
      <w:numFmt w:val="lowerRoman"/>
      <w:lvlText w:val="%9."/>
      <w:lvlJc w:val="right"/>
      <w:pPr>
        <w:ind w:left="425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539"/>
    <w:rsid w:val="00007B87"/>
    <w:rsid w:val="00014FC8"/>
    <w:rsid w:val="00021DC5"/>
    <w:rsid w:val="00023E3D"/>
    <w:rsid w:val="000242FA"/>
    <w:rsid w:val="000420C4"/>
    <w:rsid w:val="00057F83"/>
    <w:rsid w:val="000852AD"/>
    <w:rsid w:val="00091495"/>
    <w:rsid w:val="000A235D"/>
    <w:rsid w:val="000A2F5F"/>
    <w:rsid w:val="000B086A"/>
    <w:rsid w:val="000E02D1"/>
    <w:rsid w:val="000E3644"/>
    <w:rsid w:val="000E5D99"/>
    <w:rsid w:val="000E72CB"/>
    <w:rsid w:val="000F190B"/>
    <w:rsid w:val="000F6685"/>
    <w:rsid w:val="000F7C5F"/>
    <w:rsid w:val="00104EF8"/>
    <w:rsid w:val="00105E53"/>
    <w:rsid w:val="0011054C"/>
    <w:rsid w:val="00113A1C"/>
    <w:rsid w:val="00122574"/>
    <w:rsid w:val="00135EBD"/>
    <w:rsid w:val="00140DEA"/>
    <w:rsid w:val="0015251F"/>
    <w:rsid w:val="0015521F"/>
    <w:rsid w:val="0016471E"/>
    <w:rsid w:val="001803F2"/>
    <w:rsid w:val="001A415D"/>
    <w:rsid w:val="001C72B3"/>
    <w:rsid w:val="001E2C6C"/>
    <w:rsid w:val="001F5E3D"/>
    <w:rsid w:val="00204051"/>
    <w:rsid w:val="0020493B"/>
    <w:rsid w:val="00205A5B"/>
    <w:rsid w:val="002527C1"/>
    <w:rsid w:val="00266739"/>
    <w:rsid w:val="002769BA"/>
    <w:rsid w:val="0027714E"/>
    <w:rsid w:val="00277A02"/>
    <w:rsid w:val="00277A7B"/>
    <w:rsid w:val="00280A48"/>
    <w:rsid w:val="00281819"/>
    <w:rsid w:val="00284C83"/>
    <w:rsid w:val="002A0063"/>
    <w:rsid w:val="002A1F7F"/>
    <w:rsid w:val="002A5E6B"/>
    <w:rsid w:val="002D35DA"/>
    <w:rsid w:val="002F6AB6"/>
    <w:rsid w:val="0031369E"/>
    <w:rsid w:val="00322266"/>
    <w:rsid w:val="00322D2A"/>
    <w:rsid w:val="00323C59"/>
    <w:rsid w:val="00324151"/>
    <w:rsid w:val="00336EBC"/>
    <w:rsid w:val="00340B11"/>
    <w:rsid w:val="00362B95"/>
    <w:rsid w:val="003634C7"/>
    <w:rsid w:val="00364D4A"/>
    <w:rsid w:val="003656A1"/>
    <w:rsid w:val="00373894"/>
    <w:rsid w:val="00385619"/>
    <w:rsid w:val="00393F75"/>
    <w:rsid w:val="003A084A"/>
    <w:rsid w:val="003A1167"/>
    <w:rsid w:val="003C7A09"/>
    <w:rsid w:val="003D15DB"/>
    <w:rsid w:val="003D6CB0"/>
    <w:rsid w:val="003D7E47"/>
    <w:rsid w:val="003E2A00"/>
    <w:rsid w:val="003E3B90"/>
    <w:rsid w:val="003F1159"/>
    <w:rsid w:val="00401EFD"/>
    <w:rsid w:val="00405BF1"/>
    <w:rsid w:val="00410F1F"/>
    <w:rsid w:val="00420231"/>
    <w:rsid w:val="004265E9"/>
    <w:rsid w:val="004348BD"/>
    <w:rsid w:val="004577F2"/>
    <w:rsid w:val="0047396E"/>
    <w:rsid w:val="004747F8"/>
    <w:rsid w:val="00483266"/>
    <w:rsid w:val="004872CE"/>
    <w:rsid w:val="004A6B91"/>
    <w:rsid w:val="004C03E4"/>
    <w:rsid w:val="004C2616"/>
    <w:rsid w:val="004D1608"/>
    <w:rsid w:val="004D4415"/>
    <w:rsid w:val="004D5898"/>
    <w:rsid w:val="004D591E"/>
    <w:rsid w:val="004F081F"/>
    <w:rsid w:val="004F0AEB"/>
    <w:rsid w:val="004F6DA8"/>
    <w:rsid w:val="004F6ED0"/>
    <w:rsid w:val="00501DA0"/>
    <w:rsid w:val="00505A7D"/>
    <w:rsid w:val="00507252"/>
    <w:rsid w:val="00510B8D"/>
    <w:rsid w:val="00513AC5"/>
    <w:rsid w:val="0053035A"/>
    <w:rsid w:val="005329DC"/>
    <w:rsid w:val="00533744"/>
    <w:rsid w:val="00535EA1"/>
    <w:rsid w:val="0054630F"/>
    <w:rsid w:val="005502C1"/>
    <w:rsid w:val="005650D6"/>
    <w:rsid w:val="00573501"/>
    <w:rsid w:val="005A7195"/>
    <w:rsid w:val="005B47BE"/>
    <w:rsid w:val="005B7BA0"/>
    <w:rsid w:val="005C68A0"/>
    <w:rsid w:val="005F45DA"/>
    <w:rsid w:val="006113DE"/>
    <w:rsid w:val="00617AD4"/>
    <w:rsid w:val="00627D96"/>
    <w:rsid w:val="00630BDC"/>
    <w:rsid w:val="00636323"/>
    <w:rsid w:val="00636D21"/>
    <w:rsid w:val="0064442E"/>
    <w:rsid w:val="006461A0"/>
    <w:rsid w:val="0064682D"/>
    <w:rsid w:val="00647784"/>
    <w:rsid w:val="00662C72"/>
    <w:rsid w:val="00671DCA"/>
    <w:rsid w:val="00675D44"/>
    <w:rsid w:val="00692E75"/>
    <w:rsid w:val="006A2A5C"/>
    <w:rsid w:val="006A5AD0"/>
    <w:rsid w:val="006B0314"/>
    <w:rsid w:val="006B1ACE"/>
    <w:rsid w:val="006C1C19"/>
    <w:rsid w:val="006C781B"/>
    <w:rsid w:val="006D3303"/>
    <w:rsid w:val="006D4518"/>
    <w:rsid w:val="006F0490"/>
    <w:rsid w:val="006F7177"/>
    <w:rsid w:val="00704AF8"/>
    <w:rsid w:val="00716DF5"/>
    <w:rsid w:val="00731893"/>
    <w:rsid w:val="00742409"/>
    <w:rsid w:val="00750C44"/>
    <w:rsid w:val="00790A65"/>
    <w:rsid w:val="0079559D"/>
    <w:rsid w:val="00795D75"/>
    <w:rsid w:val="007A01FD"/>
    <w:rsid w:val="007A711A"/>
    <w:rsid w:val="007B3CC7"/>
    <w:rsid w:val="007B3EF5"/>
    <w:rsid w:val="007E26A5"/>
    <w:rsid w:val="007F1B16"/>
    <w:rsid w:val="007F5D33"/>
    <w:rsid w:val="00800376"/>
    <w:rsid w:val="00803856"/>
    <w:rsid w:val="00834CDE"/>
    <w:rsid w:val="0083609B"/>
    <w:rsid w:val="008539AA"/>
    <w:rsid w:val="00853F52"/>
    <w:rsid w:val="0086000C"/>
    <w:rsid w:val="00867B36"/>
    <w:rsid w:val="00873B52"/>
    <w:rsid w:val="00877929"/>
    <w:rsid w:val="00891E39"/>
    <w:rsid w:val="00892C1F"/>
    <w:rsid w:val="008933C6"/>
    <w:rsid w:val="00893D59"/>
    <w:rsid w:val="00897F07"/>
    <w:rsid w:val="008A0119"/>
    <w:rsid w:val="008A06F5"/>
    <w:rsid w:val="008B7539"/>
    <w:rsid w:val="008D0950"/>
    <w:rsid w:val="008D3CBB"/>
    <w:rsid w:val="008E57C9"/>
    <w:rsid w:val="008F1674"/>
    <w:rsid w:val="008F35AE"/>
    <w:rsid w:val="009123CB"/>
    <w:rsid w:val="00917534"/>
    <w:rsid w:val="009478DB"/>
    <w:rsid w:val="009554E6"/>
    <w:rsid w:val="00970CE5"/>
    <w:rsid w:val="00973E8B"/>
    <w:rsid w:val="00983444"/>
    <w:rsid w:val="00995E04"/>
    <w:rsid w:val="009A5A85"/>
    <w:rsid w:val="009D35EE"/>
    <w:rsid w:val="009E5286"/>
    <w:rsid w:val="00A002E5"/>
    <w:rsid w:val="00A343F5"/>
    <w:rsid w:val="00A35A77"/>
    <w:rsid w:val="00A460F1"/>
    <w:rsid w:val="00A50D17"/>
    <w:rsid w:val="00A65DC8"/>
    <w:rsid w:val="00A834F8"/>
    <w:rsid w:val="00A83760"/>
    <w:rsid w:val="00AA20A2"/>
    <w:rsid w:val="00AB5758"/>
    <w:rsid w:val="00AD0696"/>
    <w:rsid w:val="00AD06F7"/>
    <w:rsid w:val="00AD6A58"/>
    <w:rsid w:val="00AD7B73"/>
    <w:rsid w:val="00AF28E0"/>
    <w:rsid w:val="00AF6772"/>
    <w:rsid w:val="00B04864"/>
    <w:rsid w:val="00B1067E"/>
    <w:rsid w:val="00B23610"/>
    <w:rsid w:val="00B33469"/>
    <w:rsid w:val="00B3791A"/>
    <w:rsid w:val="00B62934"/>
    <w:rsid w:val="00B66275"/>
    <w:rsid w:val="00B70DE3"/>
    <w:rsid w:val="00B84CDA"/>
    <w:rsid w:val="00B94A06"/>
    <w:rsid w:val="00B96E11"/>
    <w:rsid w:val="00BA362C"/>
    <w:rsid w:val="00BB68FF"/>
    <w:rsid w:val="00BD2254"/>
    <w:rsid w:val="00BD3FAA"/>
    <w:rsid w:val="00BE7069"/>
    <w:rsid w:val="00BF3A0E"/>
    <w:rsid w:val="00BF757C"/>
    <w:rsid w:val="00C0520C"/>
    <w:rsid w:val="00C17048"/>
    <w:rsid w:val="00C26B99"/>
    <w:rsid w:val="00C26E19"/>
    <w:rsid w:val="00C52A37"/>
    <w:rsid w:val="00C6432D"/>
    <w:rsid w:val="00C71952"/>
    <w:rsid w:val="00C80293"/>
    <w:rsid w:val="00C80849"/>
    <w:rsid w:val="00C813B6"/>
    <w:rsid w:val="00C916C5"/>
    <w:rsid w:val="00C93FBD"/>
    <w:rsid w:val="00CA03AD"/>
    <w:rsid w:val="00CA4ABD"/>
    <w:rsid w:val="00CA7B0C"/>
    <w:rsid w:val="00CC07CD"/>
    <w:rsid w:val="00CC7E0A"/>
    <w:rsid w:val="00CD4067"/>
    <w:rsid w:val="00CE15D1"/>
    <w:rsid w:val="00D14CFF"/>
    <w:rsid w:val="00D14FE2"/>
    <w:rsid w:val="00D208EE"/>
    <w:rsid w:val="00D23578"/>
    <w:rsid w:val="00D42CF8"/>
    <w:rsid w:val="00D515E6"/>
    <w:rsid w:val="00D66E25"/>
    <w:rsid w:val="00D671C0"/>
    <w:rsid w:val="00D72583"/>
    <w:rsid w:val="00D82A27"/>
    <w:rsid w:val="00D8498B"/>
    <w:rsid w:val="00D918A2"/>
    <w:rsid w:val="00D9428B"/>
    <w:rsid w:val="00D95E64"/>
    <w:rsid w:val="00DB60C6"/>
    <w:rsid w:val="00DB73C0"/>
    <w:rsid w:val="00DC3530"/>
    <w:rsid w:val="00DE187E"/>
    <w:rsid w:val="00DE5D4D"/>
    <w:rsid w:val="00DF01A5"/>
    <w:rsid w:val="00DF23CB"/>
    <w:rsid w:val="00E02CA0"/>
    <w:rsid w:val="00E037B7"/>
    <w:rsid w:val="00E15FFF"/>
    <w:rsid w:val="00E248FB"/>
    <w:rsid w:val="00E44A18"/>
    <w:rsid w:val="00E662ED"/>
    <w:rsid w:val="00E7023C"/>
    <w:rsid w:val="00E86B30"/>
    <w:rsid w:val="00E927D3"/>
    <w:rsid w:val="00EA55D1"/>
    <w:rsid w:val="00EB2E2A"/>
    <w:rsid w:val="00EC14D3"/>
    <w:rsid w:val="00EC5AF8"/>
    <w:rsid w:val="00ED10E2"/>
    <w:rsid w:val="00EE65CC"/>
    <w:rsid w:val="00EF3575"/>
    <w:rsid w:val="00F170B4"/>
    <w:rsid w:val="00F256F1"/>
    <w:rsid w:val="00F356A2"/>
    <w:rsid w:val="00F3589A"/>
    <w:rsid w:val="00F36D3B"/>
    <w:rsid w:val="00F36DDB"/>
    <w:rsid w:val="00F446CD"/>
    <w:rsid w:val="00F62A84"/>
    <w:rsid w:val="00F72F8C"/>
    <w:rsid w:val="00FA0204"/>
    <w:rsid w:val="00FA6F18"/>
    <w:rsid w:val="00FB2989"/>
    <w:rsid w:val="00FC473C"/>
    <w:rsid w:val="00FD4E4F"/>
    <w:rsid w:val="00FE3B46"/>
    <w:rsid w:val="00FE561A"/>
    <w:rsid w:val="00FE705C"/>
    <w:rsid w:val="00FF2001"/>
    <w:rsid w:val="2B28065B"/>
    <w:rsid w:val="36AE76C3"/>
    <w:rsid w:val="5EC60009"/>
    <w:rsid w:val="64693149"/>
    <w:rsid w:val="78D17BA6"/>
    <w:rsid w:val="78E71D4A"/>
    <w:rsid w:val="7D8E7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semiHidden="0" w:uiPriority="99" w:unhideWhenUsed="0"/>
    <w:lsdException w:name="toc 2" w:locked="1" w:semiHidden="0" w:unhideWhenUsed="0"/>
    <w:lsdException w:name="toc 3" w:semiHidden="0" w:uiPriority="9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rFonts w:cs="Times New Roman"/>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99"/>
    <w:pPr>
      <w:widowControl/>
      <w:spacing w:after="100" w:line="276" w:lineRule="auto"/>
      <w:ind w:left="440" w:firstLineChars="0" w:firstLine="0"/>
      <w:jc w:val="left"/>
    </w:pPr>
    <w:rPr>
      <w:kern w:val="0"/>
      <w:sz w:val="22"/>
    </w:rPr>
  </w:style>
  <w:style w:type="paragraph" w:styleId="a3">
    <w:name w:val="Balloon Text"/>
    <w:basedOn w:val="a"/>
    <w:link w:val="Char"/>
    <w:uiPriority w:val="99"/>
    <w:semiHidden/>
    <w:rPr>
      <w:sz w:val="18"/>
      <w:szCs w:val="18"/>
    </w:rPr>
  </w:style>
  <w:style w:type="paragraph" w:styleId="a4">
    <w:name w:val="footer"/>
    <w:basedOn w:val="a"/>
    <w:link w:val="Char0"/>
    <w:uiPriority w:val="99"/>
    <w:pPr>
      <w:tabs>
        <w:tab w:val="center" w:pos="4153"/>
        <w:tab w:val="right" w:pos="8306"/>
      </w:tabs>
      <w:snapToGrid w:val="0"/>
      <w:ind w:firstLineChars="0" w:firstLine="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ind w:firstLineChars="0" w:firstLine="0"/>
      <w:jc w:val="center"/>
    </w:pPr>
    <w:rPr>
      <w:sz w:val="18"/>
      <w:szCs w:val="18"/>
    </w:rPr>
  </w:style>
  <w:style w:type="paragraph" w:styleId="10">
    <w:name w:val="toc 1"/>
    <w:basedOn w:val="a"/>
    <w:next w:val="a"/>
    <w:uiPriority w:val="99"/>
    <w:pPr>
      <w:widowControl/>
      <w:spacing w:after="100" w:line="276" w:lineRule="auto"/>
      <w:ind w:firstLineChars="0" w:firstLine="0"/>
      <w:jc w:val="left"/>
    </w:pPr>
    <w:rPr>
      <w:kern w:val="0"/>
      <w:sz w:val="22"/>
    </w:rPr>
  </w:style>
  <w:style w:type="character" w:styleId="a6">
    <w:name w:val="page number"/>
    <w:basedOn w:val="a0"/>
    <w:uiPriority w:val="99"/>
    <w:rPr>
      <w:rFonts w:eastAsia="宋体" w:cs="Times New Roman"/>
      <w:sz w:val="22"/>
      <w:szCs w:val="22"/>
      <w:lang w:eastAsia="zh-CN"/>
    </w:rPr>
  </w:style>
  <w:style w:type="paragraph" w:customStyle="1" w:styleId="11">
    <w:name w:val="列出段落1"/>
    <w:basedOn w:val="a"/>
    <w:uiPriority w:val="99"/>
    <w:qFormat/>
    <w:pPr>
      <w:ind w:firstLine="420"/>
    </w:pPr>
  </w:style>
  <w:style w:type="paragraph" w:customStyle="1" w:styleId="12">
    <w:name w:val="无间隔1"/>
    <w:link w:val="Char2"/>
    <w:uiPriority w:val="99"/>
    <w:qFormat/>
    <w:rPr>
      <w:rFonts w:cs="Times New Roman"/>
      <w:sz w:val="22"/>
      <w:szCs w:val="22"/>
    </w:rPr>
  </w:style>
  <w:style w:type="paragraph" w:customStyle="1" w:styleId="TOC1">
    <w:name w:val="TOC 标题1"/>
    <w:basedOn w:val="1"/>
    <w:next w:val="a"/>
    <w:uiPriority w:val="99"/>
    <w:qFormat/>
    <w:pPr>
      <w:widowControl/>
      <w:spacing w:before="480" w:after="0" w:line="276" w:lineRule="auto"/>
      <w:ind w:firstLineChars="0" w:firstLine="0"/>
      <w:jc w:val="left"/>
      <w:outlineLvl w:val="9"/>
    </w:pPr>
    <w:rPr>
      <w:rFonts w:ascii="Cambria" w:hAnsi="Cambria"/>
      <w:color w:val="365F91"/>
      <w:kern w:val="0"/>
      <w:sz w:val="28"/>
      <w:szCs w:val="28"/>
    </w:rPr>
  </w:style>
  <w:style w:type="character" w:customStyle="1" w:styleId="1Char">
    <w:name w:val="标题 1 Char"/>
    <w:basedOn w:val="a0"/>
    <w:link w:val="1"/>
    <w:uiPriority w:val="99"/>
    <w:locked/>
    <w:rPr>
      <w:rFonts w:ascii="Calibri" w:eastAsia="宋体" w:hAnsi="Calibri" w:cs="Times New Roman"/>
      <w:b/>
      <w:bCs/>
      <w:kern w:val="44"/>
      <w:sz w:val="44"/>
      <w:szCs w:val="44"/>
    </w:rPr>
  </w:style>
  <w:style w:type="character" w:customStyle="1" w:styleId="Char1">
    <w:name w:val="页眉 Char"/>
    <w:basedOn w:val="a0"/>
    <w:link w:val="a5"/>
    <w:uiPriority w:val="99"/>
    <w:locked/>
    <w:rPr>
      <w:rFonts w:cs="Times New Roman"/>
      <w:sz w:val="18"/>
      <w:szCs w:val="18"/>
    </w:rPr>
  </w:style>
  <w:style w:type="character" w:customStyle="1" w:styleId="Char0">
    <w:name w:val="页脚 Char"/>
    <w:basedOn w:val="a0"/>
    <w:link w:val="a4"/>
    <w:uiPriority w:val="99"/>
    <w:locked/>
    <w:rPr>
      <w:rFonts w:cs="Times New Roman"/>
      <w:sz w:val="18"/>
      <w:szCs w:val="18"/>
    </w:rPr>
  </w:style>
  <w:style w:type="character" w:customStyle="1" w:styleId="Char">
    <w:name w:val="批注框文本 Char"/>
    <w:basedOn w:val="a0"/>
    <w:link w:val="a3"/>
    <w:uiPriority w:val="99"/>
    <w:semiHidden/>
    <w:locked/>
    <w:rPr>
      <w:rFonts w:ascii="Calibri" w:eastAsia="宋体" w:hAnsi="Calibri" w:cs="Times New Roman"/>
      <w:sz w:val="18"/>
      <w:szCs w:val="18"/>
    </w:rPr>
  </w:style>
  <w:style w:type="character" w:customStyle="1" w:styleId="Char2">
    <w:name w:val="无间隔 Char"/>
    <w:basedOn w:val="a0"/>
    <w:link w:val="12"/>
    <w:uiPriority w:val="99"/>
    <w:locked/>
    <w:rPr>
      <w:sz w:val="22"/>
      <w:szCs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semiHidden="0" w:uiPriority="99" w:unhideWhenUsed="0"/>
    <w:lsdException w:name="toc 2" w:locked="1" w:semiHidden="0" w:unhideWhenUsed="0"/>
    <w:lsdException w:name="toc 3" w:semiHidden="0" w:uiPriority="9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uiPriority="99" w:unhideWhenUsed="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rFonts w:cs="Times New Roman"/>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99"/>
    <w:pPr>
      <w:widowControl/>
      <w:spacing w:after="100" w:line="276" w:lineRule="auto"/>
      <w:ind w:left="440" w:firstLineChars="0" w:firstLine="0"/>
      <w:jc w:val="left"/>
    </w:pPr>
    <w:rPr>
      <w:kern w:val="0"/>
      <w:sz w:val="22"/>
    </w:rPr>
  </w:style>
  <w:style w:type="paragraph" w:styleId="a3">
    <w:name w:val="Balloon Text"/>
    <w:basedOn w:val="a"/>
    <w:link w:val="Char"/>
    <w:uiPriority w:val="99"/>
    <w:semiHidden/>
    <w:rPr>
      <w:sz w:val="18"/>
      <w:szCs w:val="18"/>
    </w:rPr>
  </w:style>
  <w:style w:type="paragraph" w:styleId="a4">
    <w:name w:val="footer"/>
    <w:basedOn w:val="a"/>
    <w:link w:val="Char0"/>
    <w:uiPriority w:val="99"/>
    <w:pPr>
      <w:tabs>
        <w:tab w:val="center" w:pos="4153"/>
        <w:tab w:val="right" w:pos="8306"/>
      </w:tabs>
      <w:snapToGrid w:val="0"/>
      <w:ind w:firstLineChars="0" w:firstLine="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ind w:firstLineChars="0" w:firstLine="0"/>
      <w:jc w:val="center"/>
    </w:pPr>
    <w:rPr>
      <w:sz w:val="18"/>
      <w:szCs w:val="18"/>
    </w:rPr>
  </w:style>
  <w:style w:type="paragraph" w:styleId="10">
    <w:name w:val="toc 1"/>
    <w:basedOn w:val="a"/>
    <w:next w:val="a"/>
    <w:uiPriority w:val="99"/>
    <w:pPr>
      <w:widowControl/>
      <w:spacing w:after="100" w:line="276" w:lineRule="auto"/>
      <w:ind w:firstLineChars="0" w:firstLine="0"/>
      <w:jc w:val="left"/>
    </w:pPr>
    <w:rPr>
      <w:kern w:val="0"/>
      <w:sz w:val="22"/>
    </w:rPr>
  </w:style>
  <w:style w:type="character" w:styleId="a6">
    <w:name w:val="page number"/>
    <w:basedOn w:val="a0"/>
    <w:uiPriority w:val="99"/>
    <w:rPr>
      <w:rFonts w:eastAsia="宋体" w:cs="Times New Roman"/>
      <w:sz w:val="22"/>
      <w:szCs w:val="22"/>
      <w:lang w:eastAsia="zh-CN"/>
    </w:rPr>
  </w:style>
  <w:style w:type="paragraph" w:customStyle="1" w:styleId="11">
    <w:name w:val="列出段落1"/>
    <w:basedOn w:val="a"/>
    <w:uiPriority w:val="99"/>
    <w:qFormat/>
    <w:pPr>
      <w:ind w:firstLine="420"/>
    </w:pPr>
  </w:style>
  <w:style w:type="paragraph" w:customStyle="1" w:styleId="12">
    <w:name w:val="无间隔1"/>
    <w:link w:val="Char2"/>
    <w:uiPriority w:val="99"/>
    <w:qFormat/>
    <w:rPr>
      <w:rFonts w:cs="Times New Roman"/>
      <w:sz w:val="22"/>
      <w:szCs w:val="22"/>
    </w:rPr>
  </w:style>
  <w:style w:type="paragraph" w:customStyle="1" w:styleId="TOC1">
    <w:name w:val="TOC 标题1"/>
    <w:basedOn w:val="1"/>
    <w:next w:val="a"/>
    <w:uiPriority w:val="99"/>
    <w:qFormat/>
    <w:pPr>
      <w:widowControl/>
      <w:spacing w:before="480" w:after="0" w:line="276" w:lineRule="auto"/>
      <w:ind w:firstLineChars="0" w:firstLine="0"/>
      <w:jc w:val="left"/>
      <w:outlineLvl w:val="9"/>
    </w:pPr>
    <w:rPr>
      <w:rFonts w:ascii="Cambria" w:hAnsi="Cambria"/>
      <w:color w:val="365F91"/>
      <w:kern w:val="0"/>
      <w:sz w:val="28"/>
      <w:szCs w:val="28"/>
    </w:rPr>
  </w:style>
  <w:style w:type="character" w:customStyle="1" w:styleId="1Char">
    <w:name w:val="标题 1 Char"/>
    <w:basedOn w:val="a0"/>
    <w:link w:val="1"/>
    <w:uiPriority w:val="99"/>
    <w:locked/>
    <w:rPr>
      <w:rFonts w:ascii="Calibri" w:eastAsia="宋体" w:hAnsi="Calibri" w:cs="Times New Roman"/>
      <w:b/>
      <w:bCs/>
      <w:kern w:val="44"/>
      <w:sz w:val="44"/>
      <w:szCs w:val="44"/>
    </w:rPr>
  </w:style>
  <w:style w:type="character" w:customStyle="1" w:styleId="Char1">
    <w:name w:val="页眉 Char"/>
    <w:basedOn w:val="a0"/>
    <w:link w:val="a5"/>
    <w:uiPriority w:val="99"/>
    <w:locked/>
    <w:rPr>
      <w:rFonts w:cs="Times New Roman"/>
      <w:sz w:val="18"/>
      <w:szCs w:val="18"/>
    </w:rPr>
  </w:style>
  <w:style w:type="character" w:customStyle="1" w:styleId="Char0">
    <w:name w:val="页脚 Char"/>
    <w:basedOn w:val="a0"/>
    <w:link w:val="a4"/>
    <w:uiPriority w:val="99"/>
    <w:locked/>
    <w:rPr>
      <w:rFonts w:cs="Times New Roman"/>
      <w:sz w:val="18"/>
      <w:szCs w:val="18"/>
    </w:rPr>
  </w:style>
  <w:style w:type="character" w:customStyle="1" w:styleId="Char">
    <w:name w:val="批注框文本 Char"/>
    <w:basedOn w:val="a0"/>
    <w:link w:val="a3"/>
    <w:uiPriority w:val="99"/>
    <w:semiHidden/>
    <w:locked/>
    <w:rPr>
      <w:rFonts w:ascii="Calibri" w:eastAsia="宋体" w:hAnsi="Calibri" w:cs="Times New Roman"/>
      <w:sz w:val="18"/>
      <w:szCs w:val="18"/>
    </w:rPr>
  </w:style>
  <w:style w:type="character" w:customStyle="1" w:styleId="Char2">
    <w:name w:val="无间隔 Char"/>
    <w:basedOn w:val="a0"/>
    <w:link w:val="12"/>
    <w:uiPriority w:val="99"/>
    <w:locked/>
    <w:rPr>
      <w:sz w:val="22"/>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1519</Words>
  <Characters>8661</Characters>
  <Application>Microsoft Office Word</Application>
  <DocSecurity>0</DocSecurity>
  <Lines>72</Lines>
  <Paragraphs>20</Paragraphs>
  <ScaleCrop>false</ScaleCrop>
  <Company>北京圣运律师事务所</Company>
  <LinksUpToDate>false</LinksUpToDate>
  <CharactersWithSpaces>10160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2014年征地拆迁</dc:title>
  <dc:creator>Joey Burning</dc:creator>
  <cp:lastModifiedBy>CIIC_MASD TINGTING_XU(徐婷婷)</cp:lastModifiedBy>
  <cp:revision>2</cp:revision>
  <dcterms:created xsi:type="dcterms:W3CDTF">2015-03-17T03:54:00Z</dcterms:created>
  <dcterms:modified xsi:type="dcterms:W3CDTF">2015-03-17T03:54:00Z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2052-9.1.0.4984</vt:lpwstr>
  </property>
</Properties>
</file>